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3BCC00" w14:textId="77777777" w:rsidR="00264B25" w:rsidRPr="00264B25" w:rsidRDefault="00264B25" w:rsidP="00264B25">
      <w:pPr>
        <w:spacing w:after="0" w:line="240" w:lineRule="auto"/>
        <w:jc w:val="center"/>
        <w:rPr>
          <w:rFonts w:ascii="Times New Roman" w:eastAsia="Times New Roman" w:hAnsi="Times New Roman" w:cs="Times New Roman"/>
          <w:b/>
          <w:caps/>
          <w:sz w:val="24"/>
          <w:szCs w:val="24"/>
        </w:rPr>
      </w:pPr>
      <w:r w:rsidRPr="00264B25">
        <w:rPr>
          <w:rFonts w:ascii="Times New Roman" w:eastAsia="Times New Roman" w:hAnsi="Times New Roman" w:cs="Times New Roman"/>
          <w:b/>
          <w:caps/>
          <w:sz w:val="24"/>
          <w:szCs w:val="24"/>
        </w:rPr>
        <w:t>DOCKET NO. 50442</w:t>
      </w:r>
      <w:bookmarkStart w:id="0" w:name="_GoBack"/>
      <w:bookmarkEnd w:id="0"/>
    </w:p>
    <w:p w14:paraId="340E09C5" w14:textId="77777777" w:rsidR="00264B25" w:rsidRPr="00264B25" w:rsidRDefault="00264B25" w:rsidP="00264B25">
      <w:pPr>
        <w:spacing w:after="0" w:line="240" w:lineRule="auto"/>
        <w:jc w:val="center"/>
        <w:rPr>
          <w:rFonts w:ascii="Times New Roman" w:eastAsia="Times New Roman" w:hAnsi="Times New Roman" w:cs="Times New Roman"/>
          <w:b/>
          <w:sz w:val="24"/>
          <w:szCs w:val="20"/>
        </w:rPr>
      </w:pPr>
    </w:p>
    <w:tbl>
      <w:tblPr>
        <w:tblW w:w="9461" w:type="dxa"/>
        <w:tblLook w:val="01E0" w:firstRow="1" w:lastRow="1" w:firstColumn="1" w:lastColumn="1" w:noHBand="0" w:noVBand="0"/>
      </w:tblPr>
      <w:tblGrid>
        <w:gridCol w:w="4515"/>
        <w:gridCol w:w="353"/>
        <w:gridCol w:w="4593"/>
      </w:tblGrid>
      <w:tr w:rsidR="00264B25" w:rsidRPr="00264B25" w14:paraId="2E4B0974" w14:textId="77777777" w:rsidTr="00B861B0">
        <w:trPr>
          <w:trHeight w:val="1650"/>
        </w:trPr>
        <w:tc>
          <w:tcPr>
            <w:tcW w:w="4515" w:type="dxa"/>
          </w:tcPr>
          <w:p w14:paraId="1999A874" w14:textId="77777777" w:rsidR="00264B25" w:rsidRPr="00264B25" w:rsidRDefault="00264B25" w:rsidP="00264B25">
            <w:pPr>
              <w:spacing w:after="0" w:line="240" w:lineRule="auto"/>
              <w:rPr>
                <w:rFonts w:ascii="Times New Roman Bold" w:eastAsia="Times New Roman" w:hAnsi="Times New Roman Bold" w:cs="Times New Roman"/>
                <w:b/>
                <w:caps/>
                <w:sz w:val="24"/>
                <w:szCs w:val="20"/>
              </w:rPr>
            </w:pPr>
            <w:r w:rsidRPr="00264B25">
              <w:rPr>
                <w:rFonts w:ascii="Times New Roman Bold" w:eastAsia="Times New Roman" w:hAnsi="Times New Roman Bold" w:cs="Times New Roman"/>
                <w:b/>
                <w:caps/>
                <w:sz w:val="24"/>
                <w:szCs w:val="20"/>
              </w:rPr>
              <w:t>Petition of MM Walden Pond LLC to Amend High Point Water Supply Corporation’s Water Certificate of Convenience and Necessity in Kaufman County by Expedited Release</w:t>
            </w:r>
          </w:p>
        </w:tc>
        <w:tc>
          <w:tcPr>
            <w:tcW w:w="353" w:type="dxa"/>
          </w:tcPr>
          <w:p w14:paraId="36E03478" w14:textId="77777777" w:rsidR="00264B25" w:rsidRPr="00264B25" w:rsidRDefault="00264B25" w:rsidP="00264B25">
            <w:pPr>
              <w:spacing w:after="0" w:line="240" w:lineRule="auto"/>
              <w:jc w:val="both"/>
              <w:rPr>
                <w:rFonts w:ascii="Times New Roman" w:eastAsia="Times New Roman" w:hAnsi="Times New Roman" w:cs="Times New Roman"/>
                <w:b/>
                <w:sz w:val="24"/>
                <w:szCs w:val="20"/>
              </w:rPr>
            </w:pPr>
            <w:r w:rsidRPr="00264B25">
              <w:rPr>
                <w:rFonts w:ascii="Times New Roman" w:eastAsia="Times New Roman" w:hAnsi="Times New Roman" w:cs="Times New Roman"/>
                <w:b/>
                <w:sz w:val="24"/>
                <w:szCs w:val="20"/>
              </w:rPr>
              <w:t>§</w:t>
            </w:r>
          </w:p>
          <w:p w14:paraId="5249C0A0" w14:textId="77777777" w:rsidR="00264B25" w:rsidRPr="00264B25" w:rsidRDefault="00264B25" w:rsidP="00264B25">
            <w:pPr>
              <w:spacing w:after="0" w:line="240" w:lineRule="auto"/>
              <w:jc w:val="both"/>
              <w:rPr>
                <w:rFonts w:ascii="Times New Roman" w:eastAsia="Times New Roman" w:hAnsi="Times New Roman" w:cs="Times New Roman"/>
                <w:b/>
                <w:sz w:val="24"/>
                <w:szCs w:val="20"/>
              </w:rPr>
            </w:pPr>
            <w:r w:rsidRPr="00264B25">
              <w:rPr>
                <w:rFonts w:ascii="Times New Roman" w:eastAsia="Times New Roman" w:hAnsi="Times New Roman" w:cs="Times New Roman"/>
                <w:b/>
                <w:sz w:val="24"/>
                <w:szCs w:val="20"/>
              </w:rPr>
              <w:t>§</w:t>
            </w:r>
          </w:p>
          <w:p w14:paraId="726F9C94" w14:textId="77777777" w:rsidR="00264B25" w:rsidRPr="00264B25" w:rsidRDefault="00264B25" w:rsidP="00264B25">
            <w:pPr>
              <w:spacing w:after="0" w:line="240" w:lineRule="auto"/>
              <w:jc w:val="both"/>
              <w:rPr>
                <w:rFonts w:ascii="Times New Roman" w:eastAsia="Times New Roman" w:hAnsi="Times New Roman" w:cs="Times New Roman"/>
                <w:b/>
                <w:sz w:val="24"/>
                <w:szCs w:val="20"/>
              </w:rPr>
            </w:pPr>
            <w:r w:rsidRPr="00264B25">
              <w:rPr>
                <w:rFonts w:ascii="Times New Roman" w:eastAsia="Times New Roman" w:hAnsi="Times New Roman" w:cs="Times New Roman"/>
                <w:b/>
                <w:sz w:val="24"/>
                <w:szCs w:val="20"/>
              </w:rPr>
              <w:t>§</w:t>
            </w:r>
          </w:p>
          <w:p w14:paraId="3ED6CD88" w14:textId="77777777" w:rsidR="00264B25" w:rsidRPr="00264B25" w:rsidRDefault="00264B25" w:rsidP="00264B25">
            <w:pPr>
              <w:spacing w:after="0" w:line="240" w:lineRule="auto"/>
              <w:jc w:val="both"/>
              <w:rPr>
                <w:rFonts w:ascii="Times New Roman" w:eastAsia="Times New Roman" w:hAnsi="Times New Roman" w:cs="Times New Roman"/>
                <w:b/>
                <w:sz w:val="24"/>
                <w:szCs w:val="20"/>
              </w:rPr>
            </w:pPr>
            <w:r w:rsidRPr="00264B25">
              <w:rPr>
                <w:rFonts w:ascii="Times New Roman" w:eastAsia="Times New Roman" w:hAnsi="Times New Roman" w:cs="Times New Roman"/>
                <w:b/>
                <w:sz w:val="24"/>
                <w:szCs w:val="20"/>
              </w:rPr>
              <w:t>§</w:t>
            </w:r>
          </w:p>
          <w:p w14:paraId="5197A64F" w14:textId="77777777" w:rsidR="00264B25" w:rsidRPr="00264B25" w:rsidRDefault="00264B25" w:rsidP="00264B25">
            <w:pPr>
              <w:spacing w:after="0" w:line="240" w:lineRule="auto"/>
              <w:jc w:val="both"/>
              <w:rPr>
                <w:rFonts w:ascii="Times New Roman" w:eastAsia="Times New Roman" w:hAnsi="Times New Roman" w:cs="Times New Roman"/>
                <w:b/>
                <w:sz w:val="24"/>
                <w:szCs w:val="20"/>
              </w:rPr>
            </w:pPr>
            <w:r w:rsidRPr="00264B25">
              <w:rPr>
                <w:rFonts w:ascii="Times New Roman" w:eastAsia="Times New Roman" w:hAnsi="Times New Roman" w:cs="Times New Roman"/>
                <w:b/>
                <w:sz w:val="24"/>
                <w:szCs w:val="20"/>
              </w:rPr>
              <w:t>§</w:t>
            </w:r>
          </w:p>
          <w:p w14:paraId="41D3FE9D" w14:textId="77777777" w:rsidR="00264B25" w:rsidRPr="00264B25" w:rsidRDefault="00264B25" w:rsidP="00264B25">
            <w:pPr>
              <w:spacing w:after="0" w:line="240" w:lineRule="auto"/>
              <w:jc w:val="both"/>
              <w:rPr>
                <w:rFonts w:ascii="Times New Roman" w:eastAsia="Times New Roman" w:hAnsi="Times New Roman" w:cs="Times New Roman"/>
                <w:b/>
                <w:sz w:val="24"/>
                <w:szCs w:val="20"/>
              </w:rPr>
            </w:pPr>
            <w:r w:rsidRPr="00264B25">
              <w:rPr>
                <w:rFonts w:ascii="Times New Roman" w:eastAsia="Times New Roman" w:hAnsi="Times New Roman" w:cs="Times New Roman"/>
                <w:b/>
                <w:sz w:val="24"/>
                <w:szCs w:val="20"/>
              </w:rPr>
              <w:t>§</w:t>
            </w:r>
          </w:p>
          <w:p w14:paraId="7CDBA5AC" w14:textId="77777777" w:rsidR="00264B25" w:rsidRPr="00264B25" w:rsidRDefault="00264B25" w:rsidP="00264B25">
            <w:pPr>
              <w:spacing w:after="0" w:line="240" w:lineRule="auto"/>
              <w:jc w:val="both"/>
              <w:rPr>
                <w:rFonts w:ascii="Times New Roman" w:eastAsia="Times New Roman" w:hAnsi="Times New Roman" w:cs="Times New Roman"/>
                <w:b/>
                <w:sz w:val="24"/>
                <w:szCs w:val="20"/>
              </w:rPr>
            </w:pPr>
            <w:r w:rsidRPr="00264B25">
              <w:rPr>
                <w:rFonts w:ascii="Times New Roman" w:eastAsia="Times New Roman" w:hAnsi="Times New Roman" w:cs="Times New Roman"/>
                <w:b/>
                <w:sz w:val="24"/>
                <w:szCs w:val="20"/>
              </w:rPr>
              <w:t>§</w:t>
            </w:r>
          </w:p>
        </w:tc>
        <w:tc>
          <w:tcPr>
            <w:tcW w:w="4593" w:type="dxa"/>
          </w:tcPr>
          <w:p w14:paraId="116FB31F" w14:textId="77777777" w:rsidR="00264B25" w:rsidRPr="00264B25" w:rsidRDefault="00264B25" w:rsidP="00264B25">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264B25">
              <w:rPr>
                <w:rFonts w:ascii="Times New Roman" w:eastAsia="Times New Roman" w:hAnsi="Times New Roman" w:cs="Times New Roman"/>
                <w:b/>
                <w:bCs/>
                <w:caps/>
                <w:sz w:val="24"/>
                <w:szCs w:val="20"/>
              </w:rPr>
              <w:t>PUBLIC UTILITY COMMISSION</w:t>
            </w:r>
          </w:p>
          <w:p w14:paraId="053754A7" w14:textId="77777777" w:rsidR="00264B25" w:rsidRPr="00264B25" w:rsidRDefault="00264B25" w:rsidP="00264B25">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p>
          <w:p w14:paraId="36B73A79" w14:textId="77777777" w:rsidR="00264B25" w:rsidRPr="00264B25" w:rsidRDefault="00264B25" w:rsidP="00264B25">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264B25">
              <w:rPr>
                <w:rFonts w:ascii="Times New Roman" w:eastAsia="Times New Roman" w:hAnsi="Times New Roman" w:cs="Times New Roman"/>
                <w:b/>
                <w:bCs/>
                <w:caps/>
                <w:sz w:val="24"/>
                <w:szCs w:val="20"/>
              </w:rPr>
              <w:t xml:space="preserve">OF </w:t>
            </w:r>
            <w:smartTag w:uri="urn:schemas-microsoft-com:office:smarttags" w:element="State">
              <w:smartTag w:uri="urn:schemas-microsoft-com:office:smarttags" w:element="place">
                <w:r w:rsidRPr="00264B25">
                  <w:rPr>
                    <w:rFonts w:ascii="Times New Roman" w:eastAsia="Times New Roman" w:hAnsi="Times New Roman" w:cs="Times New Roman"/>
                    <w:b/>
                    <w:bCs/>
                    <w:caps/>
                    <w:sz w:val="24"/>
                    <w:szCs w:val="20"/>
                  </w:rPr>
                  <w:t>TEXAS</w:t>
                </w:r>
              </w:smartTag>
            </w:smartTag>
          </w:p>
        </w:tc>
      </w:tr>
    </w:tbl>
    <w:p w14:paraId="0FB66449" w14:textId="77777777" w:rsidR="00264B25" w:rsidRPr="00264B25" w:rsidRDefault="00264B25" w:rsidP="00264B25">
      <w:pPr>
        <w:keepNext/>
        <w:spacing w:after="0" w:line="240" w:lineRule="auto"/>
        <w:jc w:val="center"/>
        <w:rPr>
          <w:rFonts w:ascii="Times New Roman" w:eastAsia="Times New Roman" w:hAnsi="Times New Roman" w:cs="Times New Roman"/>
          <w:b/>
          <w:caps/>
          <w:sz w:val="24"/>
          <w:szCs w:val="24"/>
        </w:rPr>
      </w:pPr>
    </w:p>
    <w:p w14:paraId="63320063" w14:textId="3F233181" w:rsidR="00264B25" w:rsidRPr="00264B25" w:rsidRDefault="00264B25" w:rsidP="00264B25">
      <w:pPr>
        <w:keepNext/>
        <w:spacing w:after="0" w:line="240" w:lineRule="auto"/>
        <w:jc w:val="center"/>
        <w:rPr>
          <w:rFonts w:ascii="Times New Roman" w:eastAsia="Times New Roman" w:hAnsi="Times New Roman" w:cs="Times New Roman"/>
          <w:b/>
          <w:caps/>
          <w:sz w:val="24"/>
          <w:szCs w:val="24"/>
        </w:rPr>
      </w:pPr>
      <w:r w:rsidRPr="00264B25">
        <w:rPr>
          <w:rFonts w:ascii="Times New Roman" w:eastAsia="Times New Roman" w:hAnsi="Times New Roman" w:cs="Times New Roman"/>
          <w:b/>
          <w:caps/>
          <w:sz w:val="24"/>
          <w:szCs w:val="24"/>
        </w:rPr>
        <w:t xml:space="preserve">COMMISSION STAFF’S </w:t>
      </w:r>
      <w:r>
        <w:rPr>
          <w:rFonts w:ascii="Times New Roman" w:eastAsia="Times New Roman" w:hAnsi="Times New Roman" w:cs="Times New Roman"/>
          <w:b/>
          <w:caps/>
          <w:sz w:val="24"/>
          <w:szCs w:val="24"/>
        </w:rPr>
        <w:t>RESPONSE TO MM WALDEN POND, LLC AND HIGH POINT WATER SUPPLY Corpration</w:t>
      </w:r>
    </w:p>
    <w:p w14:paraId="1045B4D4" w14:textId="77777777" w:rsidR="00264B25" w:rsidRPr="00264B25" w:rsidRDefault="00264B25" w:rsidP="00264B25">
      <w:pPr>
        <w:keepNext/>
        <w:spacing w:after="0" w:line="240" w:lineRule="auto"/>
        <w:jc w:val="center"/>
        <w:rPr>
          <w:rFonts w:ascii="Times New Roman" w:eastAsia="Times New Roman" w:hAnsi="Times New Roman" w:cs="Times New Roman"/>
          <w:b/>
          <w:caps/>
          <w:sz w:val="28"/>
          <w:szCs w:val="20"/>
        </w:rPr>
      </w:pPr>
    </w:p>
    <w:p w14:paraId="5D36DAD7" w14:textId="4DF90CE4" w:rsidR="00264B25" w:rsidRDefault="00264B25" w:rsidP="00264B25">
      <w:pPr>
        <w:keepNext/>
        <w:spacing w:after="0" w:line="360" w:lineRule="auto"/>
        <w:ind w:firstLine="720"/>
        <w:jc w:val="both"/>
        <w:outlineLvl w:val="3"/>
        <w:rPr>
          <w:rFonts w:ascii="Times New Roman" w:eastAsia="Times New Roman" w:hAnsi="Times New Roman" w:cs="Times New Roman"/>
          <w:sz w:val="24"/>
          <w:szCs w:val="24"/>
        </w:rPr>
      </w:pPr>
      <w:r w:rsidRPr="00264B25">
        <w:rPr>
          <w:rFonts w:ascii="Times New Roman" w:eastAsia="Times New Roman" w:hAnsi="Times New Roman" w:cs="Times New Roman"/>
          <w:b/>
          <w:sz w:val="24"/>
          <w:szCs w:val="24"/>
        </w:rPr>
        <w:t>COMES NOW</w:t>
      </w:r>
      <w:r w:rsidRPr="00264B25">
        <w:rPr>
          <w:rFonts w:ascii="Times New Roman" w:eastAsia="Times New Roman" w:hAnsi="Times New Roman" w:cs="Times New Roman"/>
          <w:sz w:val="24"/>
          <w:szCs w:val="24"/>
        </w:rPr>
        <w:t xml:space="preserve"> the Staff of the Public Utility Commission of Texas (Staff), representing the public interest, and files this </w:t>
      </w:r>
      <w:r>
        <w:rPr>
          <w:rFonts w:ascii="Times New Roman" w:eastAsia="Times New Roman" w:hAnsi="Times New Roman" w:cs="Times New Roman"/>
          <w:sz w:val="24"/>
          <w:szCs w:val="24"/>
        </w:rPr>
        <w:t>Staff’s Response to MM Walden Pond, LLC and High Point Water Supply Corporation. In support thereof, Staff shows the following.</w:t>
      </w:r>
    </w:p>
    <w:p w14:paraId="66706ADB" w14:textId="77777777" w:rsidR="00DD4169" w:rsidRPr="00264B25" w:rsidRDefault="00DD4169" w:rsidP="00264B25">
      <w:pPr>
        <w:keepNext/>
        <w:spacing w:after="0" w:line="360" w:lineRule="auto"/>
        <w:ind w:firstLine="720"/>
        <w:jc w:val="both"/>
        <w:outlineLvl w:val="3"/>
        <w:rPr>
          <w:rFonts w:ascii="Times New Roman" w:eastAsia="Times New Roman" w:hAnsi="Times New Roman" w:cs="Times New Roman"/>
          <w:sz w:val="24"/>
          <w:szCs w:val="24"/>
        </w:rPr>
      </w:pPr>
    </w:p>
    <w:p w14:paraId="6DF83DBE" w14:textId="77777777" w:rsidR="00264B25" w:rsidRPr="00264B25" w:rsidRDefault="00264B25" w:rsidP="00264B25">
      <w:pPr>
        <w:numPr>
          <w:ilvl w:val="0"/>
          <w:numId w:val="1"/>
        </w:numPr>
        <w:spacing w:after="0" w:line="360" w:lineRule="auto"/>
        <w:contextualSpacing/>
        <w:jc w:val="center"/>
        <w:rPr>
          <w:rFonts w:ascii="Times New Roman" w:eastAsia="Times New Roman" w:hAnsi="Times New Roman" w:cs="Times New Roman"/>
          <w:b/>
          <w:sz w:val="24"/>
          <w:szCs w:val="20"/>
        </w:rPr>
      </w:pPr>
      <w:r w:rsidRPr="00264B25">
        <w:rPr>
          <w:rFonts w:ascii="Times New Roman" w:eastAsia="Times New Roman" w:hAnsi="Times New Roman" w:cs="Times New Roman"/>
          <w:b/>
          <w:sz w:val="24"/>
          <w:szCs w:val="20"/>
        </w:rPr>
        <w:t>BACKGROUND</w:t>
      </w:r>
    </w:p>
    <w:p w14:paraId="6765A30C" w14:textId="77777777" w:rsidR="00264B25" w:rsidRPr="00264B25" w:rsidRDefault="00264B25" w:rsidP="00264B25">
      <w:pPr>
        <w:spacing w:after="0" w:line="360" w:lineRule="auto"/>
        <w:jc w:val="both"/>
        <w:rPr>
          <w:rFonts w:ascii="Times New Roman" w:eastAsia="Calibri" w:hAnsi="Times New Roman" w:cs="Times New Roman"/>
          <w:sz w:val="24"/>
          <w:szCs w:val="24"/>
        </w:rPr>
      </w:pPr>
      <w:r w:rsidRPr="00264B25">
        <w:rPr>
          <w:rFonts w:ascii="Times New Roman" w:eastAsia="Times New Roman" w:hAnsi="Times New Roman" w:cs="Times New Roman"/>
          <w:sz w:val="24"/>
          <w:szCs w:val="20"/>
        </w:rPr>
        <w:tab/>
        <w:t xml:space="preserve">On January 13, 2020, MM Walden Pond, LLC (Walden Pond) filed a petition for expedited release </w:t>
      </w:r>
      <w:r w:rsidRPr="00264B25">
        <w:rPr>
          <w:rFonts w:ascii="Times New Roman" w:eastAsia="Times New Roman" w:hAnsi="Times New Roman" w:cs="Times New Roman"/>
          <w:sz w:val="24"/>
          <w:szCs w:val="24"/>
        </w:rPr>
        <w:t>of the portion of its 214-acre tract that lies within the boundaries of</w:t>
      </w:r>
      <w:r w:rsidRPr="00264B25">
        <w:rPr>
          <w:rFonts w:ascii="Times New Roman" w:eastAsia="Times New Roman" w:hAnsi="Times New Roman" w:cs="Times New Roman"/>
          <w:sz w:val="24"/>
          <w:szCs w:val="20"/>
        </w:rPr>
        <w:t xml:space="preserve"> the High Point Water Supply Corporation’s (High Point) water Certificate of Convenience and Necessity (CCN) No. 10841, in Kaufman County. This petition was filed</w:t>
      </w:r>
      <w:r w:rsidRPr="00264B25">
        <w:rPr>
          <w:rFonts w:ascii="Times New Roman" w:eastAsia="Times New Roman" w:hAnsi="Times New Roman" w:cs="Times New Roman"/>
          <w:bCs/>
          <w:sz w:val="24"/>
          <w:szCs w:val="20"/>
        </w:rPr>
        <w:t xml:space="preserve"> under Texas Water Code (TWC) § 13.2541 and 16 Texas Administrative Code (TAC) § 24.245(</w:t>
      </w:r>
      <w:r w:rsidRPr="00264B25">
        <w:rPr>
          <w:rFonts w:ascii="Times New Roman" w:eastAsia="Times New Roman" w:hAnsi="Times New Roman" w:cs="Times New Roman"/>
          <w:bCs/>
          <w:i/>
          <w:sz w:val="24"/>
          <w:szCs w:val="20"/>
        </w:rPr>
        <w:t>l</w:t>
      </w:r>
      <w:r w:rsidRPr="00264B25">
        <w:rPr>
          <w:rFonts w:ascii="Times New Roman" w:eastAsia="Times New Roman" w:hAnsi="Times New Roman" w:cs="Times New Roman"/>
          <w:bCs/>
          <w:sz w:val="24"/>
          <w:szCs w:val="20"/>
        </w:rPr>
        <w:t>).</w:t>
      </w:r>
      <w:r w:rsidRPr="00264B25">
        <w:rPr>
          <w:rFonts w:ascii="Times New Roman" w:eastAsia="Calibri" w:hAnsi="Times New Roman" w:cs="Times New Roman"/>
          <w:sz w:val="24"/>
          <w:szCs w:val="24"/>
        </w:rPr>
        <w:t xml:space="preserve"> </w:t>
      </w:r>
      <w:r w:rsidRPr="00264B25">
        <w:rPr>
          <w:rFonts w:ascii="Times New Roman" w:eastAsia="Times New Roman" w:hAnsi="Times New Roman" w:cs="Times New Roman"/>
          <w:bCs/>
          <w:sz w:val="24"/>
          <w:szCs w:val="20"/>
        </w:rPr>
        <w:t>Walden Pond asserts that the tract of land is at least 25 acres, is not receiving water service, and is located in Kaufman County, which is a qualifying county.</w:t>
      </w:r>
    </w:p>
    <w:p w14:paraId="3DE7A03F" w14:textId="62DBED4A" w:rsidR="00264B25" w:rsidRDefault="00264B25" w:rsidP="001677FF">
      <w:pPr>
        <w:spacing w:after="0" w:line="360" w:lineRule="auto"/>
        <w:ind w:firstLine="720"/>
        <w:jc w:val="both"/>
        <w:rPr>
          <w:rFonts w:ascii="Times New Roman" w:hAnsi="Times New Roman" w:cs="Times New Roman"/>
          <w:sz w:val="24"/>
          <w:szCs w:val="20"/>
        </w:rPr>
      </w:pPr>
      <w:r w:rsidRPr="00264B25">
        <w:rPr>
          <w:rFonts w:ascii="Times New Roman" w:hAnsi="Times New Roman" w:cs="Times New Roman"/>
          <w:sz w:val="24"/>
          <w:szCs w:val="20"/>
        </w:rPr>
        <w:t xml:space="preserve">On February 24, 2020, High Point filed a motion to dismiss, asserting that it is entitled to protection under 7 U.S.C. § 1926(b) because it is federally indebted. </w:t>
      </w:r>
      <w:r>
        <w:rPr>
          <w:rFonts w:ascii="Times New Roman" w:hAnsi="Times New Roman" w:cs="Times New Roman"/>
          <w:sz w:val="24"/>
          <w:szCs w:val="20"/>
        </w:rPr>
        <w:t xml:space="preserve">On March 19, 2020, Walden Pond filed its response to High Points </w:t>
      </w:r>
      <w:r w:rsidR="00DD4169">
        <w:rPr>
          <w:rFonts w:ascii="Times New Roman" w:hAnsi="Times New Roman" w:cs="Times New Roman"/>
          <w:sz w:val="24"/>
          <w:szCs w:val="20"/>
        </w:rPr>
        <w:t>m</w:t>
      </w:r>
      <w:r>
        <w:rPr>
          <w:rFonts w:ascii="Times New Roman" w:hAnsi="Times New Roman" w:cs="Times New Roman"/>
          <w:sz w:val="24"/>
          <w:szCs w:val="20"/>
        </w:rPr>
        <w:t xml:space="preserve">otion to </w:t>
      </w:r>
      <w:r w:rsidR="00DD4169">
        <w:rPr>
          <w:rFonts w:ascii="Times New Roman" w:hAnsi="Times New Roman" w:cs="Times New Roman"/>
          <w:sz w:val="24"/>
          <w:szCs w:val="20"/>
        </w:rPr>
        <w:t>d</w:t>
      </w:r>
      <w:r>
        <w:rPr>
          <w:rFonts w:ascii="Times New Roman" w:hAnsi="Times New Roman" w:cs="Times New Roman"/>
          <w:sz w:val="24"/>
          <w:szCs w:val="20"/>
        </w:rPr>
        <w:t xml:space="preserve">ismiss and Staff’s </w:t>
      </w:r>
      <w:r w:rsidR="00DD4169">
        <w:rPr>
          <w:rFonts w:ascii="Times New Roman" w:hAnsi="Times New Roman" w:cs="Times New Roman"/>
          <w:sz w:val="24"/>
          <w:szCs w:val="20"/>
        </w:rPr>
        <w:t>m</w:t>
      </w:r>
      <w:r>
        <w:rPr>
          <w:rFonts w:ascii="Times New Roman" w:hAnsi="Times New Roman" w:cs="Times New Roman"/>
          <w:sz w:val="24"/>
          <w:szCs w:val="20"/>
        </w:rPr>
        <w:t xml:space="preserve">otion to </w:t>
      </w:r>
      <w:r w:rsidR="00DD4169">
        <w:rPr>
          <w:rFonts w:ascii="Times New Roman" w:hAnsi="Times New Roman" w:cs="Times New Roman"/>
          <w:sz w:val="24"/>
          <w:szCs w:val="20"/>
        </w:rPr>
        <w:t>a</w:t>
      </w:r>
      <w:r>
        <w:rPr>
          <w:rFonts w:ascii="Times New Roman" w:hAnsi="Times New Roman" w:cs="Times New Roman"/>
          <w:sz w:val="24"/>
          <w:szCs w:val="20"/>
        </w:rPr>
        <w:t>bate</w:t>
      </w:r>
      <w:r w:rsidR="00DD4169">
        <w:rPr>
          <w:rFonts w:ascii="Times New Roman" w:hAnsi="Times New Roman" w:cs="Times New Roman"/>
          <w:sz w:val="24"/>
          <w:szCs w:val="20"/>
        </w:rPr>
        <w:t xml:space="preserve"> and </w:t>
      </w:r>
      <w:r>
        <w:rPr>
          <w:rFonts w:ascii="Times New Roman" w:hAnsi="Times New Roman" w:cs="Times New Roman"/>
          <w:sz w:val="24"/>
          <w:szCs w:val="20"/>
        </w:rPr>
        <w:t>High Point filed its response</w:t>
      </w:r>
      <w:r w:rsidR="00DD4169">
        <w:rPr>
          <w:rFonts w:ascii="Times New Roman" w:hAnsi="Times New Roman" w:cs="Times New Roman"/>
          <w:sz w:val="24"/>
          <w:szCs w:val="20"/>
        </w:rPr>
        <w:t xml:space="preserve"> to Staff’s motion to abate.</w:t>
      </w:r>
    </w:p>
    <w:p w14:paraId="29BE6565" w14:textId="2A2B2AEB" w:rsidR="00DD4169" w:rsidRDefault="00DD4169" w:rsidP="00264B25">
      <w:pPr>
        <w:spacing w:after="0" w:line="360" w:lineRule="auto"/>
        <w:ind w:firstLine="720"/>
        <w:jc w:val="both"/>
        <w:rPr>
          <w:rFonts w:ascii="Times New Roman" w:hAnsi="Times New Roman" w:cs="Times New Roman"/>
          <w:sz w:val="24"/>
          <w:szCs w:val="20"/>
        </w:rPr>
      </w:pPr>
      <w:r>
        <w:rPr>
          <w:rFonts w:ascii="Times New Roman" w:hAnsi="Times New Roman" w:cs="Times New Roman"/>
          <w:sz w:val="24"/>
          <w:szCs w:val="20"/>
        </w:rPr>
        <w:t xml:space="preserve">On March 5, 2020 the Administrative Law Judge </w:t>
      </w:r>
      <w:r w:rsidR="00911A7C">
        <w:rPr>
          <w:rFonts w:ascii="Times New Roman" w:hAnsi="Times New Roman" w:cs="Times New Roman"/>
          <w:sz w:val="24"/>
          <w:szCs w:val="20"/>
        </w:rPr>
        <w:t xml:space="preserve">(ALJ) </w:t>
      </w:r>
      <w:r>
        <w:rPr>
          <w:rFonts w:ascii="Times New Roman" w:hAnsi="Times New Roman" w:cs="Times New Roman"/>
          <w:sz w:val="24"/>
          <w:szCs w:val="20"/>
        </w:rPr>
        <w:t>issued Order No. 3 which gave Staff until March 26, 2020 to fi</w:t>
      </w:r>
      <w:r w:rsidR="00CB51A0">
        <w:rPr>
          <w:rFonts w:ascii="Times New Roman" w:hAnsi="Times New Roman" w:cs="Times New Roman"/>
          <w:sz w:val="24"/>
          <w:szCs w:val="20"/>
        </w:rPr>
        <w:t>l</w:t>
      </w:r>
      <w:r>
        <w:rPr>
          <w:rFonts w:ascii="Times New Roman" w:hAnsi="Times New Roman" w:cs="Times New Roman"/>
          <w:sz w:val="24"/>
          <w:szCs w:val="20"/>
        </w:rPr>
        <w:t xml:space="preserve">e a response to High Point’s response and motion to dismiss and Walden Pond’s response. This pleading is therefore timely filed. </w:t>
      </w:r>
    </w:p>
    <w:p w14:paraId="476BF344" w14:textId="13605286" w:rsidR="00DD4169" w:rsidRDefault="00DD4169" w:rsidP="00264B25">
      <w:pPr>
        <w:spacing w:after="0" w:line="360" w:lineRule="auto"/>
        <w:ind w:firstLine="720"/>
        <w:jc w:val="both"/>
        <w:rPr>
          <w:rFonts w:ascii="Times New Roman" w:hAnsi="Times New Roman" w:cs="Times New Roman"/>
          <w:sz w:val="24"/>
          <w:szCs w:val="20"/>
        </w:rPr>
      </w:pPr>
    </w:p>
    <w:p w14:paraId="714A887D" w14:textId="53630AE3" w:rsidR="00DD4169" w:rsidRDefault="00DD4169" w:rsidP="00264B25">
      <w:pPr>
        <w:spacing w:after="0" w:line="360" w:lineRule="auto"/>
        <w:ind w:firstLine="720"/>
        <w:jc w:val="both"/>
        <w:rPr>
          <w:rFonts w:ascii="Times New Roman" w:hAnsi="Times New Roman" w:cs="Times New Roman"/>
          <w:sz w:val="24"/>
          <w:szCs w:val="20"/>
        </w:rPr>
      </w:pPr>
    </w:p>
    <w:p w14:paraId="556B7CC8" w14:textId="77777777" w:rsidR="00DD4169" w:rsidRPr="00DD4169" w:rsidRDefault="00DD4169" w:rsidP="00DD4169">
      <w:pPr>
        <w:spacing w:after="0" w:line="240" w:lineRule="auto"/>
        <w:rPr>
          <w:rFonts w:ascii="Times New Roman" w:eastAsia="Times New Roman" w:hAnsi="Times New Roman" w:cs="Times New Roman"/>
          <w:sz w:val="24"/>
          <w:szCs w:val="24"/>
        </w:rPr>
      </w:pPr>
    </w:p>
    <w:p w14:paraId="4F3D9CA5" w14:textId="77777777" w:rsidR="00DD4169" w:rsidRDefault="00DD4169" w:rsidP="00DD4169">
      <w:pPr>
        <w:spacing w:after="0" w:line="360" w:lineRule="auto"/>
        <w:contextualSpacing/>
        <w:rPr>
          <w:rFonts w:ascii="Times New Roman" w:eastAsia="Times New Roman" w:hAnsi="Times New Roman" w:cs="Times New Roman"/>
          <w:b/>
          <w:sz w:val="24"/>
          <w:szCs w:val="20"/>
        </w:rPr>
      </w:pPr>
    </w:p>
    <w:p w14:paraId="179EDECC" w14:textId="35B6C78E" w:rsidR="00DD4169" w:rsidRPr="00DD4169" w:rsidRDefault="00DD4169" w:rsidP="00DD4169">
      <w:pPr>
        <w:numPr>
          <w:ilvl w:val="0"/>
          <w:numId w:val="1"/>
        </w:numPr>
        <w:spacing w:after="0" w:line="360" w:lineRule="auto"/>
        <w:ind w:left="0" w:firstLine="0"/>
        <w:contextualSpacing/>
        <w:jc w:val="center"/>
        <w:rPr>
          <w:rFonts w:ascii="Times New Roman" w:eastAsia="Times New Roman" w:hAnsi="Times New Roman" w:cs="Times New Roman"/>
          <w:b/>
          <w:sz w:val="24"/>
          <w:szCs w:val="20"/>
        </w:rPr>
      </w:pPr>
      <w:r>
        <w:rPr>
          <w:rFonts w:ascii="Times New Roman" w:eastAsia="Times New Roman" w:hAnsi="Times New Roman" w:cs="Times New Roman"/>
          <w:b/>
          <w:sz w:val="24"/>
          <w:szCs w:val="20"/>
        </w:rPr>
        <w:lastRenderedPageBreak/>
        <w:t>STAFF’S RESPONSE TO HIGH POINT</w:t>
      </w:r>
    </w:p>
    <w:p w14:paraId="2B639E4C" w14:textId="79184D83" w:rsidR="000E42C0" w:rsidRDefault="00DD4169" w:rsidP="000E42C0">
      <w:pPr>
        <w:spacing w:after="0" w:line="360" w:lineRule="auto"/>
        <w:ind w:firstLine="720"/>
        <w:jc w:val="both"/>
        <w:rPr>
          <w:rFonts w:ascii="Times New Roman" w:hAnsi="Times New Roman" w:cs="Times New Roman"/>
          <w:sz w:val="24"/>
          <w:szCs w:val="20"/>
        </w:rPr>
      </w:pPr>
      <w:r>
        <w:rPr>
          <w:rFonts w:ascii="Times New Roman" w:hAnsi="Times New Roman" w:cs="Times New Roman"/>
          <w:sz w:val="24"/>
          <w:szCs w:val="20"/>
        </w:rPr>
        <w:t xml:space="preserve">Hight Point </w:t>
      </w:r>
      <w:r w:rsidR="006F0C7A">
        <w:rPr>
          <w:rFonts w:ascii="Times New Roman" w:hAnsi="Times New Roman" w:cs="Times New Roman"/>
          <w:sz w:val="24"/>
          <w:szCs w:val="20"/>
        </w:rPr>
        <w:t>responded to</w:t>
      </w:r>
      <w:r w:rsidR="00911A7C">
        <w:rPr>
          <w:rFonts w:ascii="Times New Roman" w:hAnsi="Times New Roman" w:cs="Times New Roman"/>
          <w:sz w:val="24"/>
          <w:szCs w:val="20"/>
        </w:rPr>
        <w:t xml:space="preserve"> Staff’s motion to abate stat</w:t>
      </w:r>
      <w:r w:rsidR="006F0C7A">
        <w:rPr>
          <w:rFonts w:ascii="Times New Roman" w:hAnsi="Times New Roman" w:cs="Times New Roman"/>
          <w:sz w:val="24"/>
          <w:szCs w:val="20"/>
        </w:rPr>
        <w:t>ing</w:t>
      </w:r>
      <w:r w:rsidR="00911A7C">
        <w:rPr>
          <w:rFonts w:ascii="Times New Roman" w:hAnsi="Times New Roman" w:cs="Times New Roman"/>
          <w:sz w:val="24"/>
          <w:szCs w:val="20"/>
        </w:rPr>
        <w:t xml:space="preserve"> that “</w:t>
      </w:r>
      <w:r w:rsidR="00911A7C" w:rsidRPr="00911A7C">
        <w:rPr>
          <w:rFonts w:ascii="Times New Roman" w:hAnsi="Times New Roman" w:cs="Times New Roman"/>
          <w:sz w:val="24"/>
          <w:szCs w:val="20"/>
        </w:rPr>
        <w:t>High Point is not opposed to the A</w:t>
      </w:r>
      <w:r w:rsidR="00911A7C">
        <w:rPr>
          <w:rFonts w:ascii="Times New Roman" w:hAnsi="Times New Roman" w:cs="Times New Roman"/>
          <w:sz w:val="24"/>
          <w:szCs w:val="20"/>
        </w:rPr>
        <w:t>LJ</w:t>
      </w:r>
      <w:r w:rsidR="00911A7C" w:rsidRPr="00911A7C">
        <w:rPr>
          <w:rFonts w:ascii="Times New Roman" w:hAnsi="Times New Roman" w:cs="Times New Roman"/>
          <w:sz w:val="24"/>
          <w:szCs w:val="20"/>
        </w:rPr>
        <w:t xml:space="preserve"> granting Commission Staff</w:t>
      </w:r>
      <w:r w:rsidR="00CB51A0">
        <w:rPr>
          <w:rFonts w:ascii="Times New Roman" w:hAnsi="Times New Roman" w:cs="Times New Roman"/>
          <w:sz w:val="24"/>
          <w:szCs w:val="20"/>
        </w:rPr>
        <w:t>’</w:t>
      </w:r>
      <w:r w:rsidR="00911A7C" w:rsidRPr="00911A7C">
        <w:rPr>
          <w:rFonts w:ascii="Times New Roman" w:hAnsi="Times New Roman" w:cs="Times New Roman"/>
          <w:sz w:val="24"/>
          <w:szCs w:val="20"/>
        </w:rPr>
        <w:t>s motion to abate this proceeding by an order consistent with the discussion and decision of the Commissioners at the November 14, 2019, open meeting concerning Docket No. 48801.</w:t>
      </w:r>
      <w:r w:rsidR="00B200FC">
        <w:rPr>
          <w:rFonts w:ascii="Times New Roman" w:hAnsi="Times New Roman" w:cs="Times New Roman"/>
          <w:sz w:val="24"/>
          <w:szCs w:val="20"/>
        </w:rPr>
        <w:t>”</w:t>
      </w:r>
      <w:r w:rsidR="00B200FC">
        <w:rPr>
          <w:rStyle w:val="FootnoteReference"/>
          <w:rFonts w:ascii="Times New Roman" w:hAnsi="Times New Roman" w:cs="Times New Roman"/>
          <w:szCs w:val="20"/>
        </w:rPr>
        <w:footnoteReference w:id="1"/>
      </w:r>
      <w:r w:rsidR="00CB51A0">
        <w:rPr>
          <w:rFonts w:ascii="Times New Roman" w:hAnsi="Times New Roman" w:cs="Times New Roman"/>
          <w:sz w:val="24"/>
          <w:szCs w:val="20"/>
        </w:rPr>
        <w:t xml:space="preserve"> </w:t>
      </w:r>
      <w:r w:rsidR="00911A7C">
        <w:rPr>
          <w:rFonts w:ascii="Times New Roman" w:hAnsi="Times New Roman" w:cs="Times New Roman"/>
          <w:sz w:val="24"/>
          <w:szCs w:val="20"/>
        </w:rPr>
        <w:t>Staff agrees with High Point that this proceeding should be abated</w:t>
      </w:r>
      <w:r w:rsidR="000E42C0">
        <w:rPr>
          <w:rFonts w:ascii="Times New Roman" w:hAnsi="Times New Roman" w:cs="Times New Roman"/>
          <w:sz w:val="24"/>
          <w:szCs w:val="20"/>
        </w:rPr>
        <w:t xml:space="preserve"> pending the </w:t>
      </w:r>
      <w:r w:rsidR="007E0840">
        <w:rPr>
          <w:rFonts w:ascii="Times New Roman" w:hAnsi="Times New Roman" w:cs="Times New Roman"/>
          <w:sz w:val="24"/>
          <w:szCs w:val="20"/>
        </w:rPr>
        <w:t xml:space="preserve">decision of the </w:t>
      </w:r>
      <w:r w:rsidR="008E2EB2" w:rsidRPr="008E2EB2">
        <w:rPr>
          <w:rFonts w:ascii="Times New Roman" w:hAnsi="Times New Roman" w:cs="Times New Roman"/>
          <w:sz w:val="24"/>
          <w:szCs w:val="20"/>
        </w:rPr>
        <w:t>United States Court of Appeals for the Fifth Circuit</w:t>
      </w:r>
      <w:r w:rsidR="008E2EB2" w:rsidRPr="008E2EB2" w:rsidDel="008E2EB2">
        <w:rPr>
          <w:rFonts w:ascii="Times New Roman" w:hAnsi="Times New Roman" w:cs="Times New Roman"/>
          <w:sz w:val="24"/>
          <w:szCs w:val="20"/>
        </w:rPr>
        <w:t xml:space="preserve"> </w:t>
      </w:r>
      <w:r w:rsidR="006F2F5A">
        <w:rPr>
          <w:rFonts w:ascii="Times New Roman" w:hAnsi="Times New Roman" w:cs="Times New Roman"/>
          <w:sz w:val="24"/>
          <w:szCs w:val="20"/>
        </w:rPr>
        <w:t>(5</w:t>
      </w:r>
      <w:r w:rsidR="006F2F5A" w:rsidRPr="006F2F5A">
        <w:rPr>
          <w:rFonts w:ascii="Times New Roman" w:hAnsi="Times New Roman" w:cs="Times New Roman"/>
          <w:sz w:val="24"/>
          <w:szCs w:val="20"/>
        </w:rPr>
        <w:t xml:space="preserve">th </w:t>
      </w:r>
      <w:r w:rsidR="006F2F5A">
        <w:rPr>
          <w:rFonts w:ascii="Times New Roman" w:hAnsi="Times New Roman" w:cs="Times New Roman"/>
          <w:sz w:val="24"/>
          <w:szCs w:val="20"/>
        </w:rPr>
        <w:t xml:space="preserve">Circuit) </w:t>
      </w:r>
      <w:r w:rsidR="007E0840">
        <w:rPr>
          <w:rFonts w:ascii="Times New Roman" w:hAnsi="Times New Roman" w:cs="Times New Roman"/>
          <w:sz w:val="24"/>
          <w:szCs w:val="20"/>
        </w:rPr>
        <w:t xml:space="preserve">in </w:t>
      </w:r>
      <w:r w:rsidR="000E42C0" w:rsidRPr="000E42C0">
        <w:rPr>
          <w:rFonts w:ascii="Times New Roman" w:hAnsi="Times New Roman" w:cs="Times New Roman"/>
          <w:i/>
          <w:iCs/>
          <w:sz w:val="24"/>
          <w:szCs w:val="20"/>
        </w:rPr>
        <w:t>Crystal Clear Special Utility District v. Walker</w:t>
      </w:r>
      <w:r w:rsidR="000E42C0">
        <w:rPr>
          <w:rFonts w:ascii="Times New Roman" w:hAnsi="Times New Roman" w:cs="Times New Roman"/>
          <w:sz w:val="24"/>
          <w:szCs w:val="20"/>
        </w:rPr>
        <w:t>.</w:t>
      </w:r>
      <w:r w:rsidR="000E42C0">
        <w:rPr>
          <w:rStyle w:val="FootnoteReference"/>
          <w:rFonts w:ascii="Times New Roman" w:hAnsi="Times New Roman" w:cs="Times New Roman"/>
          <w:szCs w:val="20"/>
        </w:rPr>
        <w:footnoteReference w:id="2"/>
      </w:r>
    </w:p>
    <w:p w14:paraId="36CDD8E8" w14:textId="77777777" w:rsidR="000E42C0" w:rsidRDefault="000E42C0" w:rsidP="000E42C0">
      <w:pPr>
        <w:spacing w:after="0" w:line="360" w:lineRule="auto"/>
        <w:ind w:firstLine="720"/>
        <w:jc w:val="both"/>
        <w:rPr>
          <w:rFonts w:ascii="Times New Roman" w:hAnsi="Times New Roman" w:cs="Times New Roman"/>
          <w:sz w:val="24"/>
          <w:szCs w:val="20"/>
        </w:rPr>
      </w:pPr>
      <w:bookmarkStart w:id="1" w:name="_Hlk35947188"/>
    </w:p>
    <w:p w14:paraId="5E827C90" w14:textId="2D3B7BA4" w:rsidR="000E42C0" w:rsidRPr="00DD4169" w:rsidRDefault="000E42C0" w:rsidP="000E42C0">
      <w:pPr>
        <w:numPr>
          <w:ilvl w:val="0"/>
          <w:numId w:val="1"/>
        </w:numPr>
        <w:spacing w:after="0" w:line="360" w:lineRule="auto"/>
        <w:contextualSpacing/>
        <w:jc w:val="center"/>
        <w:rPr>
          <w:rFonts w:ascii="Times New Roman" w:eastAsia="Times New Roman" w:hAnsi="Times New Roman" w:cs="Times New Roman"/>
          <w:b/>
          <w:sz w:val="24"/>
          <w:szCs w:val="20"/>
        </w:rPr>
      </w:pPr>
      <w:r>
        <w:rPr>
          <w:rFonts w:ascii="Times New Roman" w:eastAsia="Times New Roman" w:hAnsi="Times New Roman" w:cs="Times New Roman"/>
          <w:b/>
          <w:sz w:val="24"/>
          <w:szCs w:val="20"/>
        </w:rPr>
        <w:t>STAFF’S RESPONSE TO WALDEN POND</w:t>
      </w:r>
    </w:p>
    <w:bookmarkEnd w:id="1"/>
    <w:p w14:paraId="1E22E7B4" w14:textId="444F6012" w:rsidR="007A768E" w:rsidRPr="007A768E" w:rsidRDefault="007A768E" w:rsidP="007A768E">
      <w:pPr>
        <w:pStyle w:val="ListParagraph"/>
        <w:numPr>
          <w:ilvl w:val="0"/>
          <w:numId w:val="3"/>
        </w:numPr>
        <w:spacing w:after="0" w:line="360" w:lineRule="auto"/>
        <w:jc w:val="both"/>
        <w:rPr>
          <w:rFonts w:ascii="Times New Roman" w:hAnsi="Times New Roman" w:cs="Times New Roman"/>
          <w:b/>
          <w:bCs/>
          <w:sz w:val="24"/>
          <w:szCs w:val="20"/>
        </w:rPr>
      </w:pPr>
      <w:r w:rsidRPr="007A768E">
        <w:rPr>
          <w:rFonts w:ascii="Times New Roman" w:hAnsi="Times New Roman" w:cs="Times New Roman"/>
          <w:b/>
          <w:bCs/>
          <w:sz w:val="24"/>
          <w:szCs w:val="20"/>
        </w:rPr>
        <w:t>Commission Holding</w:t>
      </w:r>
    </w:p>
    <w:p w14:paraId="21BE114E" w14:textId="0010C359" w:rsidR="00B200FC" w:rsidRDefault="00B200FC" w:rsidP="000E42C0">
      <w:pPr>
        <w:spacing w:after="0" w:line="360" w:lineRule="auto"/>
        <w:ind w:firstLine="720"/>
        <w:jc w:val="both"/>
        <w:rPr>
          <w:rFonts w:ascii="Times New Roman" w:hAnsi="Times New Roman" w:cs="Times New Roman"/>
          <w:sz w:val="24"/>
          <w:szCs w:val="20"/>
        </w:rPr>
      </w:pPr>
      <w:r>
        <w:rPr>
          <w:rFonts w:ascii="Times New Roman" w:hAnsi="Times New Roman" w:cs="Times New Roman"/>
          <w:sz w:val="24"/>
          <w:szCs w:val="20"/>
        </w:rPr>
        <w:t>In Docket No. 48801 the ALJ’s issued a proposal for decision</w:t>
      </w:r>
      <w:r w:rsidR="0002706E">
        <w:rPr>
          <w:rFonts w:ascii="Times New Roman" w:hAnsi="Times New Roman" w:cs="Times New Roman"/>
          <w:sz w:val="24"/>
          <w:szCs w:val="20"/>
        </w:rPr>
        <w:t xml:space="preserve"> (PFD)</w:t>
      </w:r>
      <w:r>
        <w:rPr>
          <w:rFonts w:ascii="Times New Roman" w:hAnsi="Times New Roman" w:cs="Times New Roman"/>
          <w:sz w:val="24"/>
          <w:szCs w:val="20"/>
        </w:rPr>
        <w:t xml:space="preserve"> </w:t>
      </w:r>
      <w:r w:rsidR="0002706E">
        <w:rPr>
          <w:rFonts w:ascii="Times New Roman" w:hAnsi="Times New Roman" w:cs="Times New Roman"/>
          <w:sz w:val="24"/>
          <w:szCs w:val="20"/>
        </w:rPr>
        <w:t>that addressed expedited release and federal preemption because of federal indebtedness.</w:t>
      </w:r>
      <w:r w:rsidR="0002706E">
        <w:rPr>
          <w:rStyle w:val="FootnoteReference"/>
          <w:rFonts w:ascii="Times New Roman" w:hAnsi="Times New Roman" w:cs="Times New Roman"/>
          <w:szCs w:val="20"/>
        </w:rPr>
        <w:footnoteReference w:id="3"/>
      </w:r>
      <w:r w:rsidR="0002706E">
        <w:rPr>
          <w:rFonts w:ascii="Times New Roman" w:hAnsi="Times New Roman" w:cs="Times New Roman"/>
          <w:sz w:val="24"/>
          <w:szCs w:val="20"/>
        </w:rPr>
        <w:t xml:space="preserve"> The PFD was never adopted because the parties withdrew their petition before the Commission could make a decision on it.</w:t>
      </w:r>
      <w:r w:rsidR="0002706E">
        <w:rPr>
          <w:rStyle w:val="FootnoteReference"/>
          <w:rFonts w:ascii="Times New Roman" w:hAnsi="Times New Roman" w:cs="Times New Roman"/>
          <w:szCs w:val="20"/>
        </w:rPr>
        <w:footnoteReference w:id="4"/>
      </w:r>
      <w:r w:rsidR="0002706E">
        <w:rPr>
          <w:rFonts w:ascii="Times New Roman" w:hAnsi="Times New Roman" w:cs="Times New Roman"/>
          <w:sz w:val="24"/>
          <w:szCs w:val="20"/>
        </w:rPr>
        <w:t xml:space="preserve"> In that PFD the ALJ discussed the effect of </w:t>
      </w:r>
      <w:r w:rsidR="0002706E" w:rsidRPr="0002706E">
        <w:rPr>
          <w:rFonts w:ascii="Times New Roman" w:hAnsi="Times New Roman" w:cs="Times New Roman"/>
          <w:i/>
          <w:iCs/>
          <w:sz w:val="24"/>
          <w:szCs w:val="20"/>
        </w:rPr>
        <w:t xml:space="preserve">Crystal Clear Special Utility District v. Walker </w:t>
      </w:r>
      <w:r w:rsidR="0002706E">
        <w:rPr>
          <w:rFonts w:ascii="Times New Roman" w:hAnsi="Times New Roman" w:cs="Times New Roman"/>
          <w:sz w:val="24"/>
          <w:szCs w:val="20"/>
        </w:rPr>
        <w:t>on expedited releases at the Commission:</w:t>
      </w:r>
    </w:p>
    <w:p w14:paraId="58B056DB" w14:textId="1E18BE5D" w:rsidR="0002706E" w:rsidRDefault="0002706E" w:rsidP="0002706E">
      <w:pPr>
        <w:pStyle w:val="BodyText"/>
        <w:ind w:left="720" w:firstLine="0"/>
      </w:pPr>
      <w:r>
        <w:t xml:space="preserve">“On March 27, 2019, the United States District Court for the Western District of Texas issued its final judgment in </w:t>
      </w:r>
      <w:bookmarkStart w:id="2" w:name="_Hlk35940608"/>
      <w:bookmarkStart w:id="3" w:name="_Hlk21514747"/>
      <w:r w:rsidRPr="00A30ED1">
        <w:rPr>
          <w:i/>
        </w:rPr>
        <w:t>Crystal Clear Special Utility District v. Walker</w:t>
      </w:r>
      <w:bookmarkEnd w:id="2"/>
      <w:r>
        <w:rPr>
          <w:i/>
        </w:rPr>
        <w:t>,</w:t>
      </w:r>
      <w:r w:rsidRPr="00A30ED1">
        <w:t xml:space="preserve"> Ca</w:t>
      </w:r>
      <w:r>
        <w:t>u</w:t>
      </w:r>
      <w:r w:rsidRPr="00A30ED1">
        <w:t>se No. AU-17-C</w:t>
      </w:r>
      <w:r>
        <w:t>V</w:t>
      </w:r>
      <w:r w:rsidRPr="00A30ED1">
        <w:t>-</w:t>
      </w:r>
      <w:r>
        <w:t>254</w:t>
      </w:r>
      <w:r w:rsidRPr="00A30ED1">
        <w:t>-</w:t>
      </w:r>
      <w:r>
        <w:t>LY</w:t>
      </w:r>
      <w:r w:rsidRPr="00A30ED1">
        <w:t xml:space="preserve"> (W.D. Tex.)</w:t>
      </w:r>
      <w:bookmarkEnd w:id="3"/>
      <w:r w:rsidRPr="00A30ED1">
        <w:t>.</w:t>
      </w:r>
      <w:r>
        <w:t xml:space="preserve"> </w:t>
      </w:r>
      <w:r w:rsidRPr="00A30ED1">
        <w:t xml:space="preserve"> </w:t>
      </w:r>
      <w:r>
        <w:t xml:space="preserve">This judgment is currently on appeal to the </w:t>
      </w:r>
      <w:bookmarkStart w:id="4" w:name="_Hlk36107863"/>
      <w:r>
        <w:t>United States Court of Appeals for the Fifth Circuit</w:t>
      </w:r>
      <w:bookmarkEnd w:id="4"/>
      <w:r>
        <w:t>;</w:t>
      </w:r>
      <w:r>
        <w:rPr>
          <w:rStyle w:val="FootnoteReference"/>
        </w:rPr>
        <w:footnoteReference w:id="5"/>
      </w:r>
      <w:r>
        <w:t xml:space="preserve"> however, because the court has not issued its final judgment on appeal, this proposal for decision is based on the judgment of the district court. In its judgment, the district court ordered and declared:</w:t>
      </w:r>
      <w:r w:rsidRPr="00385F9C">
        <w:t xml:space="preserve"> </w:t>
      </w:r>
    </w:p>
    <w:p w14:paraId="0000E4FB" w14:textId="77777777" w:rsidR="0002706E" w:rsidRDefault="0002706E" w:rsidP="0002706E">
      <w:pPr>
        <w:pStyle w:val="BodyText"/>
        <w:spacing w:line="240" w:lineRule="auto"/>
        <w:ind w:left="1440" w:right="720" w:firstLine="0"/>
      </w:pPr>
      <w:r>
        <w:lastRenderedPageBreak/>
        <w:t xml:space="preserve">(1) Public Utility Commission’s Final Order of September 28, 2016, in the matter titled Tex. Pub. Util. Comm'n, </w:t>
      </w:r>
      <w:r w:rsidRPr="004A15C4">
        <w:rPr>
          <w:i/>
        </w:rPr>
        <w:t>Petition of Las Colinas San Marcos Phase I LLC</w:t>
      </w:r>
      <w:r>
        <w:t>, Docket No. 46148 was entered in violation of 7 U.S.C. § 1926(b) and is void.</w:t>
      </w:r>
    </w:p>
    <w:p w14:paraId="3D5D275B" w14:textId="77777777" w:rsidR="0002706E" w:rsidRDefault="0002706E" w:rsidP="0002706E">
      <w:pPr>
        <w:pStyle w:val="BodyText"/>
        <w:spacing w:line="240" w:lineRule="auto"/>
        <w:ind w:left="1440" w:right="720" w:firstLine="0"/>
      </w:pPr>
      <w:r>
        <w:t>(2) 7 U.S.C. § 1926 preempts and voids the following section of Tex. Water Code § 13.254(a-6): "The utility commission may not deny a petition received under Subsection (a-5) based on the fact that a certificate holder is a borrower under a federal loan program."</w:t>
      </w:r>
    </w:p>
    <w:p w14:paraId="39BBB46A" w14:textId="24A5590B" w:rsidR="0002706E" w:rsidRDefault="0002706E" w:rsidP="0002706E">
      <w:pPr>
        <w:pStyle w:val="BodyText"/>
        <w:spacing w:line="240" w:lineRule="auto"/>
        <w:ind w:left="1440" w:right="720" w:firstLine="0"/>
      </w:pPr>
      <w:r>
        <w:t>(3) To the extent that Tex. Water Code § 13.254(a-5) directs the Public Utility Commission to grant a petition for decertification that meets the requirements of that provision without regard to whether the utility holding the certification is federally indebted and otherwise entitled to the protections of 7 U.S.C. § 1926(b), the statute is preempted and is void.</w:t>
      </w:r>
      <w:r>
        <w:rPr>
          <w:rStyle w:val="FootnoteReference"/>
        </w:rPr>
        <w:footnoteReference w:id="6"/>
      </w:r>
      <w:r>
        <w:t>”</w:t>
      </w:r>
      <w:r>
        <w:rPr>
          <w:rStyle w:val="FootnoteReference"/>
        </w:rPr>
        <w:footnoteReference w:id="7"/>
      </w:r>
    </w:p>
    <w:p w14:paraId="2DB0F6A2" w14:textId="77777777" w:rsidR="00B46250" w:rsidRDefault="00B46250" w:rsidP="00B46250">
      <w:pPr>
        <w:spacing w:after="0" w:line="360" w:lineRule="auto"/>
        <w:jc w:val="both"/>
        <w:rPr>
          <w:rFonts w:ascii="Times New Roman" w:hAnsi="Times New Roman" w:cs="Times New Roman"/>
          <w:sz w:val="24"/>
          <w:szCs w:val="20"/>
        </w:rPr>
      </w:pPr>
    </w:p>
    <w:p w14:paraId="06994405" w14:textId="73D7A95A" w:rsidR="000E42C0" w:rsidRDefault="000E42C0" w:rsidP="00B46250">
      <w:pPr>
        <w:spacing w:after="0" w:line="360" w:lineRule="auto"/>
        <w:jc w:val="both"/>
        <w:rPr>
          <w:rFonts w:ascii="Times New Roman" w:hAnsi="Times New Roman" w:cs="Times New Roman"/>
          <w:sz w:val="24"/>
          <w:szCs w:val="20"/>
        </w:rPr>
      </w:pPr>
      <w:r>
        <w:rPr>
          <w:rFonts w:ascii="Times New Roman" w:hAnsi="Times New Roman" w:cs="Times New Roman"/>
          <w:sz w:val="24"/>
          <w:szCs w:val="20"/>
        </w:rPr>
        <w:t>Walden Pond argues that</w:t>
      </w:r>
      <w:r w:rsidR="006F0C7A">
        <w:rPr>
          <w:rFonts w:ascii="Times New Roman" w:hAnsi="Times New Roman" w:cs="Times New Roman"/>
          <w:sz w:val="24"/>
          <w:szCs w:val="20"/>
        </w:rPr>
        <w:t xml:space="preserve"> Docket No. 48801 and</w:t>
      </w:r>
      <w:r>
        <w:rPr>
          <w:rFonts w:ascii="Times New Roman" w:hAnsi="Times New Roman" w:cs="Times New Roman"/>
          <w:sz w:val="24"/>
          <w:szCs w:val="20"/>
        </w:rPr>
        <w:t xml:space="preserve"> federal preemption does not apply in this case because High Point is not providing service</w:t>
      </w:r>
      <w:r w:rsidR="006F0C7A">
        <w:rPr>
          <w:rFonts w:ascii="Times New Roman" w:hAnsi="Times New Roman" w:cs="Times New Roman"/>
          <w:sz w:val="24"/>
          <w:szCs w:val="20"/>
        </w:rPr>
        <w:t xml:space="preserve"> to the area Walden Pond is requesting release from</w:t>
      </w:r>
      <w:r>
        <w:rPr>
          <w:rFonts w:ascii="Times New Roman" w:hAnsi="Times New Roman" w:cs="Times New Roman"/>
          <w:sz w:val="24"/>
          <w:szCs w:val="20"/>
        </w:rPr>
        <w:t>.</w:t>
      </w:r>
      <w:r w:rsidR="00B200FC">
        <w:rPr>
          <w:rStyle w:val="FootnoteReference"/>
          <w:rFonts w:ascii="Times New Roman" w:hAnsi="Times New Roman" w:cs="Times New Roman"/>
          <w:szCs w:val="20"/>
        </w:rPr>
        <w:footnoteReference w:id="8"/>
      </w:r>
      <w:r w:rsidR="00B200FC">
        <w:rPr>
          <w:rFonts w:ascii="Times New Roman" w:hAnsi="Times New Roman" w:cs="Times New Roman"/>
          <w:sz w:val="24"/>
          <w:szCs w:val="20"/>
        </w:rPr>
        <w:t xml:space="preserve"> They argue this is because 7 U.S.C § 1926 only provided a federally indebted water utility protection “when the utility can demonstrate that it has ‘provided or made service available.</w:t>
      </w:r>
      <w:r w:rsidR="00B200FC">
        <w:rPr>
          <w:rStyle w:val="FootnoteReference"/>
          <w:rFonts w:ascii="Times New Roman" w:hAnsi="Times New Roman" w:cs="Times New Roman"/>
          <w:szCs w:val="20"/>
        </w:rPr>
        <w:footnoteReference w:id="9"/>
      </w:r>
      <w:r w:rsidR="00B200FC">
        <w:rPr>
          <w:rFonts w:ascii="Times New Roman" w:hAnsi="Times New Roman" w:cs="Times New Roman"/>
          <w:sz w:val="24"/>
          <w:szCs w:val="20"/>
        </w:rPr>
        <w:t>’”</w:t>
      </w:r>
      <w:r w:rsidR="00FB40E7">
        <w:rPr>
          <w:rFonts w:ascii="Times New Roman" w:hAnsi="Times New Roman" w:cs="Times New Roman"/>
          <w:sz w:val="24"/>
          <w:szCs w:val="20"/>
        </w:rPr>
        <w:t xml:space="preserve"> </w:t>
      </w:r>
    </w:p>
    <w:p w14:paraId="1792D91A" w14:textId="25D25AE8" w:rsidR="007A768E" w:rsidRPr="007A768E" w:rsidRDefault="007A768E" w:rsidP="007A768E">
      <w:pPr>
        <w:pStyle w:val="ListParagraph"/>
        <w:numPr>
          <w:ilvl w:val="0"/>
          <w:numId w:val="3"/>
        </w:numPr>
        <w:spacing w:after="0" w:line="360" w:lineRule="auto"/>
        <w:jc w:val="both"/>
        <w:rPr>
          <w:rFonts w:ascii="Times New Roman" w:hAnsi="Times New Roman" w:cs="Times New Roman"/>
          <w:b/>
          <w:bCs/>
          <w:sz w:val="24"/>
          <w:szCs w:val="20"/>
        </w:rPr>
      </w:pPr>
      <w:r w:rsidRPr="007A768E">
        <w:rPr>
          <w:rFonts w:ascii="Times New Roman" w:hAnsi="Times New Roman" w:cs="Times New Roman"/>
          <w:b/>
          <w:bCs/>
          <w:sz w:val="24"/>
          <w:szCs w:val="20"/>
        </w:rPr>
        <w:t xml:space="preserve">Texas Supreme Court Applicability </w:t>
      </w:r>
    </w:p>
    <w:p w14:paraId="6B8BC70A" w14:textId="7987C49F" w:rsidR="00B46250" w:rsidRDefault="00B46250" w:rsidP="000E42C0">
      <w:pPr>
        <w:spacing w:after="0" w:line="360" w:lineRule="auto"/>
        <w:ind w:firstLine="720"/>
        <w:jc w:val="both"/>
        <w:rPr>
          <w:rFonts w:ascii="Times New Roman" w:hAnsi="Times New Roman" w:cs="Times New Roman"/>
          <w:sz w:val="24"/>
          <w:szCs w:val="20"/>
        </w:rPr>
      </w:pPr>
      <w:r>
        <w:rPr>
          <w:rFonts w:ascii="Times New Roman" w:hAnsi="Times New Roman" w:cs="Times New Roman"/>
          <w:sz w:val="24"/>
          <w:szCs w:val="20"/>
        </w:rPr>
        <w:t xml:space="preserve">Staff disagrees with Walden Pond on three fronts regarding </w:t>
      </w:r>
      <w:r w:rsidRPr="00B46250">
        <w:rPr>
          <w:rFonts w:ascii="Times New Roman" w:hAnsi="Times New Roman" w:cs="Times New Roman"/>
          <w:sz w:val="24"/>
          <w:szCs w:val="20"/>
        </w:rPr>
        <w:t>7 U.S.C § 1926</w:t>
      </w:r>
      <w:r>
        <w:rPr>
          <w:rFonts w:ascii="Times New Roman" w:hAnsi="Times New Roman" w:cs="Times New Roman"/>
          <w:sz w:val="24"/>
          <w:szCs w:val="20"/>
        </w:rPr>
        <w:t xml:space="preserve">(b) not being met by High Point. First, Walden Pond cites the Texas Supreme Court decision in </w:t>
      </w:r>
      <w:r w:rsidRPr="00B46250">
        <w:rPr>
          <w:rFonts w:ascii="Times New Roman" w:hAnsi="Times New Roman" w:cs="Times New Roman"/>
          <w:i/>
          <w:iCs/>
          <w:sz w:val="24"/>
          <w:szCs w:val="20"/>
        </w:rPr>
        <w:t>Penrod Drilling Corp. v Williams</w:t>
      </w:r>
      <w:r>
        <w:rPr>
          <w:rFonts w:ascii="Times New Roman" w:hAnsi="Times New Roman" w:cs="Times New Roman"/>
          <w:i/>
          <w:iCs/>
          <w:sz w:val="24"/>
          <w:szCs w:val="20"/>
        </w:rPr>
        <w:t xml:space="preserve"> </w:t>
      </w:r>
      <w:r>
        <w:rPr>
          <w:rFonts w:ascii="Times New Roman" w:hAnsi="Times New Roman" w:cs="Times New Roman"/>
          <w:sz w:val="24"/>
          <w:szCs w:val="20"/>
        </w:rPr>
        <w:t>in which the court stated that Texas courts are obligated to follow only higher Texas courts and the US Supreme Court in cases that involve the issue of preemption.</w:t>
      </w:r>
      <w:r>
        <w:rPr>
          <w:rStyle w:val="FootnoteReference"/>
          <w:rFonts w:ascii="Times New Roman" w:hAnsi="Times New Roman" w:cs="Times New Roman"/>
          <w:szCs w:val="20"/>
        </w:rPr>
        <w:footnoteReference w:id="10"/>
      </w:r>
      <w:r>
        <w:rPr>
          <w:rFonts w:ascii="Times New Roman" w:hAnsi="Times New Roman" w:cs="Times New Roman"/>
          <w:sz w:val="24"/>
          <w:szCs w:val="20"/>
        </w:rPr>
        <w:t xml:space="preserve"> Staff is not requesting this docket be abated pending any state court case, instead Staff is requesting this case be abated pending a 5</w:t>
      </w:r>
      <w:r w:rsidRPr="00AE307A">
        <w:rPr>
          <w:rFonts w:ascii="Times New Roman" w:hAnsi="Times New Roman" w:cs="Times New Roman"/>
          <w:sz w:val="24"/>
          <w:szCs w:val="20"/>
        </w:rPr>
        <w:t>th</w:t>
      </w:r>
      <w:r>
        <w:rPr>
          <w:rFonts w:ascii="Times New Roman" w:hAnsi="Times New Roman" w:cs="Times New Roman"/>
          <w:sz w:val="24"/>
          <w:szCs w:val="20"/>
        </w:rPr>
        <w:t xml:space="preserve"> </w:t>
      </w:r>
      <w:r w:rsidR="006F2F5A">
        <w:rPr>
          <w:rFonts w:ascii="Times New Roman" w:hAnsi="Times New Roman" w:cs="Times New Roman"/>
          <w:sz w:val="24"/>
          <w:szCs w:val="20"/>
        </w:rPr>
        <w:t>C</w:t>
      </w:r>
      <w:r>
        <w:rPr>
          <w:rFonts w:ascii="Times New Roman" w:hAnsi="Times New Roman" w:cs="Times New Roman"/>
          <w:sz w:val="24"/>
          <w:szCs w:val="20"/>
        </w:rPr>
        <w:t xml:space="preserve">ircuit appeal of </w:t>
      </w:r>
      <w:bookmarkStart w:id="7" w:name="_Hlk35947508"/>
      <w:r w:rsidRPr="00B46250">
        <w:rPr>
          <w:rFonts w:ascii="Times New Roman" w:hAnsi="Times New Roman" w:cs="Times New Roman"/>
          <w:i/>
          <w:iCs/>
          <w:sz w:val="24"/>
          <w:szCs w:val="20"/>
        </w:rPr>
        <w:t>Crystal Clear Special Utility District v. Walker</w:t>
      </w:r>
      <w:bookmarkEnd w:id="7"/>
      <w:r>
        <w:rPr>
          <w:rFonts w:ascii="Times New Roman" w:hAnsi="Times New Roman" w:cs="Times New Roman"/>
          <w:i/>
          <w:iCs/>
          <w:sz w:val="24"/>
          <w:szCs w:val="20"/>
        </w:rPr>
        <w:t xml:space="preserve">. </w:t>
      </w:r>
      <w:r>
        <w:rPr>
          <w:rFonts w:ascii="Times New Roman" w:hAnsi="Times New Roman" w:cs="Times New Roman"/>
          <w:sz w:val="24"/>
          <w:szCs w:val="20"/>
        </w:rPr>
        <w:t xml:space="preserve">A Texas Supreme Court case is not binding on </w:t>
      </w:r>
      <w:r w:rsidR="008426AD">
        <w:rPr>
          <w:rFonts w:ascii="Times New Roman" w:hAnsi="Times New Roman" w:cs="Times New Roman"/>
          <w:sz w:val="24"/>
          <w:szCs w:val="20"/>
        </w:rPr>
        <w:t>the 5</w:t>
      </w:r>
      <w:r w:rsidR="008426AD" w:rsidRPr="00AE307A">
        <w:rPr>
          <w:rFonts w:ascii="Times New Roman" w:hAnsi="Times New Roman" w:cs="Times New Roman"/>
          <w:sz w:val="24"/>
          <w:szCs w:val="20"/>
        </w:rPr>
        <w:t>th</w:t>
      </w:r>
      <w:r w:rsidR="008426AD">
        <w:rPr>
          <w:rFonts w:ascii="Times New Roman" w:hAnsi="Times New Roman" w:cs="Times New Roman"/>
          <w:sz w:val="24"/>
          <w:szCs w:val="20"/>
        </w:rPr>
        <w:t xml:space="preserve"> </w:t>
      </w:r>
      <w:r w:rsidR="006F2F5A">
        <w:rPr>
          <w:rFonts w:ascii="Times New Roman" w:hAnsi="Times New Roman" w:cs="Times New Roman"/>
          <w:sz w:val="24"/>
          <w:szCs w:val="20"/>
        </w:rPr>
        <w:t>C</w:t>
      </w:r>
      <w:r w:rsidR="008426AD">
        <w:rPr>
          <w:rFonts w:ascii="Times New Roman" w:hAnsi="Times New Roman" w:cs="Times New Roman"/>
          <w:sz w:val="24"/>
          <w:szCs w:val="20"/>
        </w:rPr>
        <w:t xml:space="preserve">ircuit </w:t>
      </w:r>
      <w:r>
        <w:rPr>
          <w:rFonts w:ascii="Times New Roman" w:hAnsi="Times New Roman" w:cs="Times New Roman"/>
          <w:sz w:val="24"/>
          <w:szCs w:val="20"/>
        </w:rPr>
        <w:t>nor is any decision</w:t>
      </w:r>
      <w:r w:rsidR="006F0C7A">
        <w:rPr>
          <w:rFonts w:ascii="Times New Roman" w:hAnsi="Times New Roman" w:cs="Times New Roman"/>
          <w:sz w:val="24"/>
          <w:szCs w:val="20"/>
        </w:rPr>
        <w:t xml:space="preserve"> made</w:t>
      </w:r>
      <w:r>
        <w:rPr>
          <w:rFonts w:ascii="Times New Roman" w:hAnsi="Times New Roman" w:cs="Times New Roman"/>
          <w:sz w:val="24"/>
          <w:szCs w:val="20"/>
        </w:rPr>
        <w:t xml:space="preserve"> by the Texas Supreme Court binding on any federal court. This issue is one of a federally indebted utility and </w:t>
      </w:r>
      <w:r>
        <w:rPr>
          <w:rFonts w:ascii="Times New Roman" w:hAnsi="Times New Roman" w:cs="Times New Roman"/>
          <w:sz w:val="24"/>
          <w:szCs w:val="20"/>
        </w:rPr>
        <w:lastRenderedPageBreak/>
        <w:t xml:space="preserve">thus </w:t>
      </w:r>
      <w:r w:rsidR="006F2F5A">
        <w:rPr>
          <w:rFonts w:ascii="Times New Roman" w:hAnsi="Times New Roman" w:cs="Times New Roman"/>
          <w:sz w:val="24"/>
          <w:szCs w:val="20"/>
        </w:rPr>
        <w:t>Staff</w:t>
      </w:r>
      <w:r w:rsidR="00B82FF3">
        <w:rPr>
          <w:rFonts w:ascii="Times New Roman" w:hAnsi="Times New Roman" w:cs="Times New Roman"/>
          <w:sz w:val="24"/>
          <w:szCs w:val="20"/>
        </w:rPr>
        <w:t>’s position is that</w:t>
      </w:r>
      <w:r w:rsidR="00355364">
        <w:rPr>
          <w:rFonts w:ascii="Times New Roman" w:hAnsi="Times New Roman" w:cs="Times New Roman"/>
          <w:sz w:val="24"/>
          <w:szCs w:val="20"/>
        </w:rPr>
        <w:t xml:space="preserve"> </w:t>
      </w:r>
      <w:r w:rsidR="00B82FF3">
        <w:rPr>
          <w:rFonts w:ascii="Times New Roman" w:hAnsi="Times New Roman" w:cs="Times New Roman"/>
          <w:sz w:val="24"/>
          <w:szCs w:val="20"/>
        </w:rPr>
        <w:t>the decision of the 5</w:t>
      </w:r>
      <w:r w:rsidR="00B82FF3" w:rsidRPr="00B82FF3">
        <w:rPr>
          <w:rFonts w:ascii="Times New Roman" w:hAnsi="Times New Roman" w:cs="Times New Roman"/>
          <w:sz w:val="24"/>
          <w:szCs w:val="20"/>
        </w:rPr>
        <w:t>th</w:t>
      </w:r>
      <w:r w:rsidR="00B82FF3">
        <w:rPr>
          <w:rFonts w:ascii="Times New Roman" w:hAnsi="Times New Roman" w:cs="Times New Roman"/>
          <w:sz w:val="24"/>
          <w:szCs w:val="20"/>
        </w:rPr>
        <w:t xml:space="preserve"> Circuit is necessary in order to proceed with processing expedited release </w:t>
      </w:r>
      <w:r w:rsidR="004322ED">
        <w:rPr>
          <w:rFonts w:ascii="Times New Roman" w:hAnsi="Times New Roman" w:cs="Times New Roman"/>
          <w:sz w:val="24"/>
          <w:szCs w:val="20"/>
        </w:rPr>
        <w:t xml:space="preserve">dockets where the utility is federally indebted. </w:t>
      </w:r>
    </w:p>
    <w:p w14:paraId="77053344" w14:textId="77777777" w:rsidR="007A768E" w:rsidRDefault="007A768E" w:rsidP="00355364">
      <w:pPr>
        <w:spacing w:after="0" w:line="360" w:lineRule="auto"/>
        <w:jc w:val="both"/>
        <w:rPr>
          <w:rFonts w:ascii="Times New Roman" w:hAnsi="Times New Roman" w:cs="Times New Roman"/>
          <w:sz w:val="24"/>
          <w:szCs w:val="20"/>
        </w:rPr>
      </w:pPr>
    </w:p>
    <w:p w14:paraId="38CBC460" w14:textId="1E510581" w:rsidR="007A768E" w:rsidRPr="007A768E" w:rsidRDefault="00355364" w:rsidP="007A768E">
      <w:pPr>
        <w:pStyle w:val="ListParagraph"/>
        <w:numPr>
          <w:ilvl w:val="0"/>
          <w:numId w:val="3"/>
        </w:numPr>
        <w:spacing w:after="0" w:line="360" w:lineRule="auto"/>
        <w:jc w:val="both"/>
        <w:rPr>
          <w:rFonts w:ascii="Times New Roman" w:hAnsi="Times New Roman" w:cs="Times New Roman"/>
          <w:b/>
          <w:bCs/>
          <w:sz w:val="24"/>
          <w:szCs w:val="20"/>
        </w:rPr>
      </w:pPr>
      <w:r>
        <w:rPr>
          <w:rFonts w:ascii="Times New Roman" w:hAnsi="Times New Roman" w:cs="Times New Roman"/>
          <w:b/>
          <w:bCs/>
          <w:sz w:val="24"/>
          <w:szCs w:val="20"/>
        </w:rPr>
        <w:t xml:space="preserve">Adequate Service under </w:t>
      </w:r>
      <w:r w:rsidR="007A768E" w:rsidRPr="00686655">
        <w:rPr>
          <w:rFonts w:ascii="Times New Roman" w:hAnsi="Times New Roman" w:cs="Times New Roman"/>
          <w:b/>
          <w:bCs/>
          <w:i/>
          <w:iCs/>
          <w:sz w:val="24"/>
          <w:szCs w:val="20"/>
        </w:rPr>
        <w:t>North Alamo</w:t>
      </w:r>
      <w:r w:rsidR="007A768E" w:rsidRPr="007A768E">
        <w:rPr>
          <w:rFonts w:ascii="Times New Roman" w:hAnsi="Times New Roman" w:cs="Times New Roman"/>
          <w:b/>
          <w:bCs/>
          <w:sz w:val="24"/>
          <w:szCs w:val="20"/>
        </w:rPr>
        <w:t xml:space="preserve"> </w:t>
      </w:r>
      <w:r>
        <w:rPr>
          <w:rFonts w:ascii="Times New Roman" w:hAnsi="Times New Roman" w:cs="Times New Roman"/>
          <w:b/>
          <w:bCs/>
          <w:sz w:val="24"/>
          <w:szCs w:val="20"/>
        </w:rPr>
        <w:t>Standard</w:t>
      </w:r>
    </w:p>
    <w:p w14:paraId="3CCDAB8E" w14:textId="5019ABDB" w:rsidR="008426AD" w:rsidRDefault="008426AD" w:rsidP="000E42C0">
      <w:pPr>
        <w:spacing w:after="0" w:line="360" w:lineRule="auto"/>
        <w:ind w:firstLine="720"/>
        <w:jc w:val="both"/>
        <w:rPr>
          <w:rFonts w:ascii="Times New Roman" w:hAnsi="Times New Roman" w:cs="Times New Roman"/>
          <w:sz w:val="24"/>
          <w:szCs w:val="20"/>
        </w:rPr>
      </w:pPr>
      <w:r>
        <w:rPr>
          <w:rFonts w:ascii="Times New Roman" w:hAnsi="Times New Roman" w:cs="Times New Roman"/>
          <w:sz w:val="24"/>
          <w:szCs w:val="20"/>
        </w:rPr>
        <w:t>Next</w:t>
      </w:r>
      <w:r w:rsidR="004322ED">
        <w:rPr>
          <w:rFonts w:ascii="Times New Roman" w:hAnsi="Times New Roman" w:cs="Times New Roman"/>
          <w:sz w:val="24"/>
          <w:szCs w:val="20"/>
        </w:rPr>
        <w:t>,</w:t>
      </w:r>
      <w:r>
        <w:rPr>
          <w:rFonts w:ascii="Times New Roman" w:hAnsi="Times New Roman" w:cs="Times New Roman"/>
          <w:sz w:val="24"/>
          <w:szCs w:val="20"/>
        </w:rPr>
        <w:t xml:space="preserve"> Staff disagrees with Walden Pond on </w:t>
      </w:r>
      <w:r w:rsidR="00A3014C">
        <w:rPr>
          <w:rFonts w:ascii="Times New Roman" w:hAnsi="Times New Roman" w:cs="Times New Roman"/>
          <w:sz w:val="24"/>
          <w:szCs w:val="20"/>
        </w:rPr>
        <w:t>its</w:t>
      </w:r>
      <w:r>
        <w:rPr>
          <w:rFonts w:ascii="Times New Roman" w:hAnsi="Times New Roman" w:cs="Times New Roman"/>
          <w:sz w:val="24"/>
          <w:szCs w:val="20"/>
        </w:rPr>
        <w:t xml:space="preserve"> interpretation of when a CCN </w:t>
      </w:r>
      <w:r w:rsidR="00E614AA">
        <w:rPr>
          <w:rFonts w:ascii="Times New Roman" w:hAnsi="Times New Roman" w:cs="Times New Roman"/>
          <w:sz w:val="24"/>
          <w:szCs w:val="20"/>
        </w:rPr>
        <w:t xml:space="preserve">holder </w:t>
      </w:r>
      <w:r>
        <w:rPr>
          <w:rFonts w:ascii="Times New Roman" w:hAnsi="Times New Roman" w:cs="Times New Roman"/>
          <w:sz w:val="24"/>
          <w:szCs w:val="20"/>
        </w:rPr>
        <w:t xml:space="preserve">has provided or made service available to a property under </w:t>
      </w:r>
      <w:r w:rsidRPr="008426AD">
        <w:rPr>
          <w:rFonts w:ascii="Times New Roman" w:hAnsi="Times New Roman" w:cs="Times New Roman"/>
          <w:sz w:val="24"/>
          <w:szCs w:val="20"/>
        </w:rPr>
        <w:t>7 U.S.C § 1926(b)</w:t>
      </w:r>
      <w:r>
        <w:rPr>
          <w:rFonts w:ascii="Times New Roman" w:hAnsi="Times New Roman" w:cs="Times New Roman"/>
          <w:sz w:val="24"/>
          <w:szCs w:val="20"/>
        </w:rPr>
        <w:t xml:space="preserve">. High Point </w:t>
      </w:r>
      <w:r w:rsidR="00A3014C">
        <w:rPr>
          <w:rFonts w:ascii="Times New Roman" w:hAnsi="Times New Roman" w:cs="Times New Roman"/>
          <w:sz w:val="24"/>
          <w:szCs w:val="20"/>
        </w:rPr>
        <w:t xml:space="preserve">‘s position is </w:t>
      </w:r>
      <w:r>
        <w:rPr>
          <w:rFonts w:ascii="Times New Roman" w:hAnsi="Times New Roman" w:cs="Times New Roman"/>
          <w:sz w:val="24"/>
          <w:szCs w:val="20"/>
        </w:rPr>
        <w:t>that the 5</w:t>
      </w:r>
      <w:r w:rsidRPr="00AE307A">
        <w:rPr>
          <w:rFonts w:ascii="Times New Roman" w:hAnsi="Times New Roman" w:cs="Times New Roman"/>
          <w:sz w:val="24"/>
          <w:szCs w:val="20"/>
        </w:rPr>
        <w:t>th</w:t>
      </w:r>
      <w:r w:rsidRPr="004322ED">
        <w:rPr>
          <w:rFonts w:ascii="Times New Roman" w:hAnsi="Times New Roman" w:cs="Times New Roman"/>
          <w:sz w:val="24"/>
          <w:szCs w:val="20"/>
        </w:rPr>
        <w:t xml:space="preserve"> </w:t>
      </w:r>
      <w:r w:rsidR="002E1DE4">
        <w:rPr>
          <w:rFonts w:ascii="Times New Roman" w:hAnsi="Times New Roman" w:cs="Times New Roman"/>
          <w:sz w:val="24"/>
          <w:szCs w:val="20"/>
        </w:rPr>
        <w:t>C</w:t>
      </w:r>
      <w:r>
        <w:rPr>
          <w:rFonts w:ascii="Times New Roman" w:hAnsi="Times New Roman" w:cs="Times New Roman"/>
          <w:sz w:val="24"/>
          <w:szCs w:val="20"/>
        </w:rPr>
        <w:t xml:space="preserve">ircuit </w:t>
      </w:r>
      <w:r w:rsidR="00A3014C">
        <w:rPr>
          <w:rFonts w:ascii="Times New Roman" w:hAnsi="Times New Roman" w:cs="Times New Roman"/>
          <w:sz w:val="24"/>
          <w:szCs w:val="20"/>
        </w:rPr>
        <w:t xml:space="preserve">decision </w:t>
      </w:r>
      <w:r>
        <w:rPr>
          <w:rFonts w:ascii="Times New Roman" w:hAnsi="Times New Roman" w:cs="Times New Roman"/>
          <w:sz w:val="24"/>
          <w:szCs w:val="20"/>
        </w:rPr>
        <w:t xml:space="preserve">in </w:t>
      </w:r>
      <w:r w:rsidRPr="006F0C7A">
        <w:rPr>
          <w:rFonts w:ascii="Times New Roman" w:hAnsi="Times New Roman" w:cs="Times New Roman"/>
          <w:i/>
          <w:iCs/>
          <w:sz w:val="24"/>
          <w:szCs w:val="20"/>
        </w:rPr>
        <w:t>North Alamo Water Supply Corp. v. City of San Juan</w:t>
      </w:r>
      <w:r>
        <w:rPr>
          <w:rFonts w:ascii="Times New Roman" w:hAnsi="Times New Roman" w:cs="Times New Roman"/>
          <w:sz w:val="24"/>
          <w:szCs w:val="20"/>
        </w:rPr>
        <w:t xml:space="preserve"> is binding in this case.</w:t>
      </w:r>
      <w:r>
        <w:rPr>
          <w:rStyle w:val="FootnoteReference"/>
          <w:rFonts w:ascii="Times New Roman" w:hAnsi="Times New Roman" w:cs="Times New Roman"/>
          <w:szCs w:val="20"/>
        </w:rPr>
        <w:footnoteReference w:id="11"/>
      </w:r>
      <w:r>
        <w:rPr>
          <w:rFonts w:ascii="Times New Roman" w:hAnsi="Times New Roman" w:cs="Times New Roman"/>
          <w:sz w:val="24"/>
          <w:szCs w:val="20"/>
        </w:rPr>
        <w:t xml:space="preserve"> In that case the </w:t>
      </w:r>
      <w:r w:rsidR="002E1DE4">
        <w:rPr>
          <w:rFonts w:ascii="Times New Roman" w:hAnsi="Times New Roman" w:cs="Times New Roman"/>
          <w:sz w:val="24"/>
          <w:szCs w:val="20"/>
        </w:rPr>
        <w:t>5</w:t>
      </w:r>
      <w:r w:rsidR="002E1DE4" w:rsidRPr="002E1DE4">
        <w:rPr>
          <w:rFonts w:ascii="Times New Roman" w:hAnsi="Times New Roman" w:cs="Times New Roman"/>
          <w:sz w:val="24"/>
          <w:szCs w:val="20"/>
        </w:rPr>
        <w:t>th</w:t>
      </w:r>
      <w:r w:rsidR="002E1DE4">
        <w:rPr>
          <w:rFonts w:ascii="Times New Roman" w:hAnsi="Times New Roman" w:cs="Times New Roman"/>
          <w:sz w:val="24"/>
          <w:szCs w:val="20"/>
        </w:rPr>
        <w:t xml:space="preserve"> Circuit</w:t>
      </w:r>
      <w:r>
        <w:rPr>
          <w:rFonts w:ascii="Times New Roman" w:hAnsi="Times New Roman" w:cs="Times New Roman"/>
          <w:sz w:val="24"/>
          <w:szCs w:val="20"/>
        </w:rPr>
        <w:t xml:space="preserve"> stated that “[t]</w:t>
      </w:r>
      <w:r w:rsidRPr="008426AD">
        <w:rPr>
          <w:rFonts w:ascii="Times New Roman" w:hAnsi="Times New Roman" w:cs="Times New Roman"/>
          <w:sz w:val="24"/>
          <w:szCs w:val="20"/>
        </w:rPr>
        <w:t xml:space="preserve">he </w:t>
      </w:r>
      <w:proofErr w:type="gramStart"/>
      <w:r w:rsidRPr="008426AD">
        <w:rPr>
          <w:rFonts w:ascii="Times New Roman" w:hAnsi="Times New Roman" w:cs="Times New Roman"/>
          <w:sz w:val="24"/>
          <w:szCs w:val="20"/>
        </w:rPr>
        <w:t>service</w:t>
      </w:r>
      <w:proofErr w:type="gramEnd"/>
      <w:r w:rsidRPr="008426AD">
        <w:rPr>
          <w:rFonts w:ascii="Times New Roman" w:hAnsi="Times New Roman" w:cs="Times New Roman"/>
          <w:sz w:val="24"/>
          <w:szCs w:val="20"/>
        </w:rPr>
        <w:t xml:space="preserve"> area of a federally indebted water association is sacrosanct. Every federal court to have interpreted § 1926(b) has concluded that the statute should be liberally interpreted to protect </w:t>
      </w:r>
      <w:proofErr w:type="spellStart"/>
      <w:r w:rsidRPr="008426AD">
        <w:rPr>
          <w:rFonts w:ascii="Times New Roman" w:hAnsi="Times New Roman" w:cs="Times New Roman"/>
          <w:sz w:val="24"/>
          <w:szCs w:val="20"/>
        </w:rPr>
        <w:t>FmHA</w:t>
      </w:r>
      <w:proofErr w:type="spellEnd"/>
      <w:r w:rsidRPr="008426AD">
        <w:rPr>
          <w:rFonts w:ascii="Times New Roman" w:hAnsi="Times New Roman" w:cs="Times New Roman"/>
          <w:sz w:val="24"/>
          <w:szCs w:val="20"/>
        </w:rPr>
        <w:t>-indebted rural water associations from municipal encroachment</w:t>
      </w:r>
      <w:r>
        <w:rPr>
          <w:rFonts w:ascii="Times New Roman" w:hAnsi="Times New Roman" w:cs="Times New Roman"/>
          <w:sz w:val="24"/>
          <w:szCs w:val="20"/>
        </w:rPr>
        <w:t>.”</w:t>
      </w:r>
      <w:r>
        <w:rPr>
          <w:rStyle w:val="FootnoteReference"/>
          <w:rFonts w:ascii="Times New Roman" w:hAnsi="Times New Roman" w:cs="Times New Roman"/>
          <w:szCs w:val="20"/>
        </w:rPr>
        <w:footnoteReference w:id="12"/>
      </w:r>
      <w:r w:rsidR="007A768E">
        <w:rPr>
          <w:rFonts w:ascii="Times New Roman" w:hAnsi="Times New Roman" w:cs="Times New Roman"/>
          <w:sz w:val="24"/>
          <w:szCs w:val="20"/>
        </w:rPr>
        <w:t xml:space="preserve"> Further</w:t>
      </w:r>
      <w:r w:rsidR="00060CAC">
        <w:rPr>
          <w:rFonts w:ascii="Times New Roman" w:hAnsi="Times New Roman" w:cs="Times New Roman"/>
          <w:sz w:val="24"/>
          <w:szCs w:val="20"/>
        </w:rPr>
        <w:t>,</w:t>
      </w:r>
      <w:r w:rsidR="007A768E">
        <w:rPr>
          <w:rFonts w:ascii="Times New Roman" w:hAnsi="Times New Roman" w:cs="Times New Roman"/>
          <w:sz w:val="24"/>
          <w:szCs w:val="20"/>
        </w:rPr>
        <w:t xml:space="preserve"> the court in </w:t>
      </w:r>
      <w:r w:rsidR="007A768E" w:rsidRPr="007A768E">
        <w:rPr>
          <w:rFonts w:ascii="Times New Roman" w:hAnsi="Times New Roman" w:cs="Times New Roman"/>
          <w:i/>
          <w:iCs/>
          <w:sz w:val="24"/>
          <w:szCs w:val="20"/>
        </w:rPr>
        <w:t>North Alamo</w:t>
      </w:r>
      <w:r w:rsidR="007A768E">
        <w:rPr>
          <w:rFonts w:ascii="Times New Roman" w:hAnsi="Times New Roman" w:cs="Times New Roman"/>
          <w:i/>
          <w:iCs/>
          <w:sz w:val="24"/>
          <w:szCs w:val="20"/>
        </w:rPr>
        <w:t xml:space="preserve"> </w:t>
      </w:r>
      <w:r w:rsidR="007A768E">
        <w:rPr>
          <w:rFonts w:ascii="Times New Roman" w:hAnsi="Times New Roman" w:cs="Times New Roman"/>
          <w:sz w:val="24"/>
          <w:szCs w:val="20"/>
        </w:rPr>
        <w:t>held that “a U</w:t>
      </w:r>
      <w:r w:rsidR="007A768E" w:rsidRPr="007A768E">
        <w:rPr>
          <w:rFonts w:ascii="Times New Roman" w:hAnsi="Times New Roman" w:cs="Times New Roman"/>
          <w:sz w:val="24"/>
          <w:szCs w:val="20"/>
        </w:rPr>
        <w:t>tility's state law duty to provide service is the legal equivalent to the Utility's “making service available” under § 1926(b)</w:t>
      </w:r>
      <w:r w:rsidR="007A768E">
        <w:rPr>
          <w:rFonts w:ascii="Times New Roman" w:hAnsi="Times New Roman" w:cs="Times New Roman"/>
          <w:sz w:val="24"/>
          <w:szCs w:val="20"/>
        </w:rPr>
        <w:t>.</w:t>
      </w:r>
      <w:r w:rsidR="007A768E">
        <w:rPr>
          <w:rStyle w:val="FootnoteReference"/>
          <w:rFonts w:ascii="Times New Roman" w:hAnsi="Times New Roman" w:cs="Times New Roman"/>
          <w:szCs w:val="20"/>
        </w:rPr>
        <w:footnoteReference w:id="13"/>
      </w:r>
      <w:r w:rsidR="007A768E">
        <w:rPr>
          <w:rFonts w:ascii="Times New Roman" w:hAnsi="Times New Roman" w:cs="Times New Roman"/>
          <w:sz w:val="24"/>
          <w:szCs w:val="20"/>
        </w:rPr>
        <w:t xml:space="preserve"> Since Texas falls within the 5</w:t>
      </w:r>
      <w:r w:rsidR="007A768E" w:rsidRPr="00AE307A">
        <w:rPr>
          <w:rFonts w:ascii="Times New Roman" w:hAnsi="Times New Roman" w:cs="Times New Roman"/>
          <w:sz w:val="24"/>
          <w:szCs w:val="20"/>
        </w:rPr>
        <w:t>th</w:t>
      </w:r>
      <w:r w:rsidR="007A768E">
        <w:rPr>
          <w:rFonts w:ascii="Times New Roman" w:hAnsi="Times New Roman" w:cs="Times New Roman"/>
          <w:sz w:val="24"/>
          <w:szCs w:val="20"/>
        </w:rPr>
        <w:t xml:space="preserve"> </w:t>
      </w:r>
      <w:r w:rsidR="00060CAC">
        <w:rPr>
          <w:rFonts w:ascii="Times New Roman" w:hAnsi="Times New Roman" w:cs="Times New Roman"/>
          <w:sz w:val="24"/>
          <w:szCs w:val="20"/>
        </w:rPr>
        <w:t>C</w:t>
      </w:r>
      <w:r w:rsidR="007A768E">
        <w:rPr>
          <w:rFonts w:ascii="Times New Roman" w:hAnsi="Times New Roman" w:cs="Times New Roman"/>
          <w:sz w:val="24"/>
          <w:szCs w:val="20"/>
        </w:rPr>
        <w:t xml:space="preserve">ircuit’s federal appellate jurisdiction, </w:t>
      </w:r>
      <w:r w:rsidR="007A768E" w:rsidRPr="00355364">
        <w:rPr>
          <w:rFonts w:ascii="Times New Roman" w:hAnsi="Times New Roman" w:cs="Times New Roman"/>
          <w:i/>
          <w:iCs/>
          <w:sz w:val="24"/>
          <w:szCs w:val="20"/>
        </w:rPr>
        <w:t>North Alamo</w:t>
      </w:r>
      <w:r w:rsidR="007A768E">
        <w:rPr>
          <w:rFonts w:ascii="Times New Roman" w:hAnsi="Times New Roman" w:cs="Times New Roman"/>
          <w:sz w:val="24"/>
          <w:szCs w:val="20"/>
        </w:rPr>
        <w:t xml:space="preserve"> is binding precedent for federal district courts in interpreting </w:t>
      </w:r>
      <w:r w:rsidR="007A768E" w:rsidRPr="007A768E">
        <w:rPr>
          <w:rFonts w:ascii="Times New Roman" w:hAnsi="Times New Roman" w:cs="Times New Roman"/>
          <w:sz w:val="24"/>
          <w:szCs w:val="20"/>
        </w:rPr>
        <w:t>7 U.S.C § 1926(b).</w:t>
      </w:r>
    </w:p>
    <w:p w14:paraId="6722496E" w14:textId="0C85782D" w:rsidR="00264B25" w:rsidRDefault="007A768E" w:rsidP="007A768E">
      <w:pPr>
        <w:spacing w:after="0" w:line="360" w:lineRule="auto"/>
        <w:ind w:firstLine="720"/>
        <w:jc w:val="both"/>
        <w:rPr>
          <w:rFonts w:ascii="Times New Roman" w:hAnsi="Times New Roman" w:cs="Times New Roman"/>
          <w:sz w:val="24"/>
          <w:szCs w:val="20"/>
        </w:rPr>
      </w:pPr>
      <w:r>
        <w:rPr>
          <w:rFonts w:ascii="Times New Roman" w:hAnsi="Times New Roman" w:cs="Times New Roman"/>
          <w:sz w:val="24"/>
          <w:szCs w:val="20"/>
        </w:rPr>
        <w:t>Walden Pond argue</w:t>
      </w:r>
      <w:r w:rsidR="00505F01">
        <w:rPr>
          <w:rFonts w:ascii="Times New Roman" w:hAnsi="Times New Roman" w:cs="Times New Roman"/>
          <w:sz w:val="24"/>
          <w:szCs w:val="20"/>
        </w:rPr>
        <w:t>s</w:t>
      </w:r>
      <w:r>
        <w:rPr>
          <w:rFonts w:ascii="Times New Roman" w:hAnsi="Times New Roman" w:cs="Times New Roman"/>
          <w:sz w:val="24"/>
          <w:szCs w:val="20"/>
        </w:rPr>
        <w:t xml:space="preserve"> that state appellate court precedent should govern over federal precedent.</w:t>
      </w:r>
      <w:r>
        <w:rPr>
          <w:rStyle w:val="FootnoteReference"/>
          <w:rFonts w:ascii="Times New Roman" w:hAnsi="Times New Roman" w:cs="Times New Roman"/>
          <w:szCs w:val="20"/>
        </w:rPr>
        <w:footnoteReference w:id="14"/>
      </w:r>
      <w:r>
        <w:rPr>
          <w:rFonts w:ascii="Times New Roman" w:hAnsi="Times New Roman" w:cs="Times New Roman"/>
          <w:sz w:val="24"/>
          <w:szCs w:val="20"/>
        </w:rPr>
        <w:t xml:space="preserve"> They cite to </w:t>
      </w:r>
      <w:r w:rsidRPr="00F32C93">
        <w:rPr>
          <w:rFonts w:ascii="Times New Roman" w:hAnsi="Times New Roman" w:cs="Times New Roman"/>
          <w:i/>
          <w:iCs/>
          <w:sz w:val="24"/>
          <w:szCs w:val="20"/>
        </w:rPr>
        <w:t>Creedmoor-</w:t>
      </w:r>
      <w:proofErr w:type="spellStart"/>
      <w:r w:rsidRPr="00F32C93">
        <w:rPr>
          <w:rFonts w:ascii="Times New Roman" w:hAnsi="Times New Roman" w:cs="Times New Roman"/>
          <w:i/>
          <w:iCs/>
          <w:sz w:val="24"/>
          <w:szCs w:val="20"/>
        </w:rPr>
        <w:t>Maha</w:t>
      </w:r>
      <w:proofErr w:type="spellEnd"/>
      <w:r w:rsidRPr="00F32C93">
        <w:rPr>
          <w:rFonts w:ascii="Times New Roman" w:hAnsi="Times New Roman" w:cs="Times New Roman"/>
          <w:i/>
          <w:iCs/>
          <w:sz w:val="24"/>
          <w:szCs w:val="20"/>
        </w:rPr>
        <w:t xml:space="preserve"> Water Supply Corp v Tex. Comm’n on </w:t>
      </w:r>
      <w:proofErr w:type="spellStart"/>
      <w:r w:rsidRPr="00F32C93">
        <w:rPr>
          <w:rFonts w:ascii="Times New Roman" w:hAnsi="Times New Roman" w:cs="Times New Roman"/>
          <w:i/>
          <w:iCs/>
          <w:sz w:val="24"/>
          <w:szCs w:val="20"/>
        </w:rPr>
        <w:t>Envtl</w:t>
      </w:r>
      <w:proofErr w:type="spellEnd"/>
      <w:r w:rsidRPr="00F32C93">
        <w:rPr>
          <w:rFonts w:ascii="Times New Roman" w:hAnsi="Times New Roman" w:cs="Times New Roman"/>
          <w:i/>
          <w:iCs/>
          <w:sz w:val="24"/>
          <w:szCs w:val="20"/>
        </w:rPr>
        <w:t>. Quality</w:t>
      </w:r>
      <w:r w:rsidR="00505F01">
        <w:rPr>
          <w:rFonts w:ascii="Times New Roman" w:hAnsi="Times New Roman" w:cs="Times New Roman"/>
          <w:sz w:val="24"/>
          <w:szCs w:val="20"/>
        </w:rPr>
        <w:t xml:space="preserve">, a Texas </w:t>
      </w:r>
      <w:bookmarkStart w:id="9" w:name="_Hlk36108533"/>
      <w:r w:rsidR="00505F01">
        <w:rPr>
          <w:rFonts w:ascii="Times New Roman" w:hAnsi="Times New Roman" w:cs="Times New Roman"/>
          <w:sz w:val="24"/>
          <w:szCs w:val="20"/>
        </w:rPr>
        <w:t>3</w:t>
      </w:r>
      <w:r w:rsidR="00505F01" w:rsidRPr="00505F01">
        <w:rPr>
          <w:rFonts w:ascii="Times New Roman" w:hAnsi="Times New Roman" w:cs="Times New Roman"/>
          <w:sz w:val="24"/>
          <w:szCs w:val="20"/>
        </w:rPr>
        <w:t>rd</w:t>
      </w:r>
      <w:r w:rsidR="00505F01">
        <w:rPr>
          <w:rFonts w:ascii="Times New Roman" w:hAnsi="Times New Roman" w:cs="Times New Roman"/>
          <w:sz w:val="24"/>
          <w:szCs w:val="20"/>
        </w:rPr>
        <w:t xml:space="preserve"> Court of Appeals </w:t>
      </w:r>
      <w:bookmarkEnd w:id="9"/>
      <w:r w:rsidR="00505F01">
        <w:rPr>
          <w:rFonts w:ascii="Times New Roman" w:hAnsi="Times New Roman" w:cs="Times New Roman"/>
          <w:sz w:val="24"/>
          <w:szCs w:val="20"/>
        </w:rPr>
        <w:t xml:space="preserve">case </w:t>
      </w:r>
      <w:r w:rsidR="00F32C93">
        <w:rPr>
          <w:rFonts w:ascii="Times New Roman" w:hAnsi="Times New Roman" w:cs="Times New Roman"/>
          <w:sz w:val="24"/>
          <w:szCs w:val="20"/>
        </w:rPr>
        <w:t>as</w:t>
      </w:r>
      <w:r w:rsidR="00505F01">
        <w:rPr>
          <w:rFonts w:ascii="Times New Roman" w:hAnsi="Times New Roman" w:cs="Times New Roman"/>
          <w:sz w:val="24"/>
          <w:szCs w:val="20"/>
        </w:rPr>
        <w:t xml:space="preserve"> </w:t>
      </w:r>
      <w:r w:rsidR="00F32C93">
        <w:rPr>
          <w:rFonts w:ascii="Times New Roman" w:hAnsi="Times New Roman" w:cs="Times New Roman"/>
          <w:sz w:val="24"/>
          <w:szCs w:val="20"/>
        </w:rPr>
        <w:t>precedent</w:t>
      </w:r>
      <w:r w:rsidR="00505F01">
        <w:rPr>
          <w:rFonts w:ascii="Times New Roman" w:hAnsi="Times New Roman" w:cs="Times New Roman"/>
          <w:sz w:val="24"/>
          <w:szCs w:val="20"/>
        </w:rPr>
        <w:t>ial in this case</w:t>
      </w:r>
      <w:r w:rsidR="00F32C93">
        <w:rPr>
          <w:rFonts w:ascii="Times New Roman" w:hAnsi="Times New Roman" w:cs="Times New Roman"/>
          <w:sz w:val="24"/>
          <w:szCs w:val="20"/>
        </w:rPr>
        <w:t>. Th</w:t>
      </w:r>
      <w:r w:rsidR="00B07587">
        <w:rPr>
          <w:rFonts w:ascii="Times New Roman" w:hAnsi="Times New Roman" w:cs="Times New Roman"/>
          <w:sz w:val="24"/>
          <w:szCs w:val="20"/>
        </w:rPr>
        <w:t xml:space="preserve">e </w:t>
      </w:r>
      <w:r w:rsidR="00B07587" w:rsidRPr="00B07587">
        <w:rPr>
          <w:rFonts w:ascii="Times New Roman" w:hAnsi="Times New Roman" w:cs="Times New Roman"/>
          <w:sz w:val="24"/>
          <w:szCs w:val="20"/>
        </w:rPr>
        <w:t xml:space="preserve">3rd Court of Appeals </w:t>
      </w:r>
      <w:r w:rsidR="00F32C93">
        <w:rPr>
          <w:rFonts w:ascii="Times New Roman" w:hAnsi="Times New Roman" w:cs="Times New Roman"/>
          <w:sz w:val="24"/>
          <w:szCs w:val="20"/>
        </w:rPr>
        <w:t>held that the ordinary meanings of provided or made service available “</w:t>
      </w:r>
      <w:r w:rsidR="00F32C93" w:rsidRPr="00F32C93">
        <w:rPr>
          <w:rFonts w:ascii="Times New Roman" w:hAnsi="Times New Roman" w:cs="Times New Roman"/>
          <w:sz w:val="24"/>
          <w:szCs w:val="20"/>
        </w:rPr>
        <w:t>denote</w:t>
      </w:r>
      <w:r w:rsidR="006F0C7A">
        <w:rPr>
          <w:rFonts w:ascii="Times New Roman" w:hAnsi="Times New Roman" w:cs="Times New Roman"/>
          <w:sz w:val="24"/>
          <w:szCs w:val="20"/>
        </w:rPr>
        <w:t>[s]</w:t>
      </w:r>
      <w:r w:rsidR="00F32C93" w:rsidRPr="00F32C93">
        <w:rPr>
          <w:rFonts w:ascii="Times New Roman" w:hAnsi="Times New Roman" w:cs="Times New Roman"/>
          <w:sz w:val="24"/>
          <w:szCs w:val="20"/>
        </w:rPr>
        <w:t xml:space="preserve"> actual provision of service or physical capacity and readiness to provide service, not merely a legal right or duty to do so</w:t>
      </w:r>
      <w:r w:rsidR="00F32C93">
        <w:rPr>
          <w:rFonts w:ascii="Times New Roman" w:hAnsi="Times New Roman" w:cs="Times New Roman"/>
          <w:sz w:val="24"/>
          <w:szCs w:val="20"/>
        </w:rPr>
        <w:t>.”</w:t>
      </w:r>
      <w:r w:rsidR="00F32C93">
        <w:rPr>
          <w:rStyle w:val="FootnoteReference"/>
          <w:rFonts w:ascii="Times New Roman" w:hAnsi="Times New Roman" w:cs="Times New Roman"/>
          <w:szCs w:val="20"/>
        </w:rPr>
        <w:footnoteReference w:id="15"/>
      </w:r>
      <w:r w:rsidR="00F32C93">
        <w:rPr>
          <w:rFonts w:ascii="Times New Roman" w:hAnsi="Times New Roman" w:cs="Times New Roman"/>
          <w:sz w:val="24"/>
          <w:szCs w:val="20"/>
        </w:rPr>
        <w:t xml:space="preserve"> Thus</w:t>
      </w:r>
      <w:r w:rsidR="00B07587">
        <w:rPr>
          <w:rFonts w:ascii="Times New Roman" w:hAnsi="Times New Roman" w:cs="Times New Roman"/>
          <w:sz w:val="24"/>
          <w:szCs w:val="20"/>
        </w:rPr>
        <w:t>,</w:t>
      </w:r>
      <w:r w:rsidR="00F32C93">
        <w:rPr>
          <w:rFonts w:ascii="Times New Roman" w:hAnsi="Times New Roman" w:cs="Times New Roman"/>
          <w:sz w:val="24"/>
          <w:szCs w:val="20"/>
        </w:rPr>
        <w:t xml:space="preserve"> Walden Pond argues the Commission should use Texas appellate court precedent and not 5</w:t>
      </w:r>
      <w:r w:rsidR="00F32C93" w:rsidRPr="00AE307A">
        <w:rPr>
          <w:rFonts w:ascii="Times New Roman" w:hAnsi="Times New Roman" w:cs="Times New Roman"/>
          <w:sz w:val="24"/>
          <w:szCs w:val="20"/>
        </w:rPr>
        <w:t>th</w:t>
      </w:r>
      <w:r w:rsidR="00F32C93">
        <w:rPr>
          <w:rFonts w:ascii="Times New Roman" w:hAnsi="Times New Roman" w:cs="Times New Roman"/>
          <w:sz w:val="24"/>
          <w:szCs w:val="20"/>
        </w:rPr>
        <w:t xml:space="preserve"> </w:t>
      </w:r>
      <w:r w:rsidR="00660491">
        <w:rPr>
          <w:rFonts w:ascii="Times New Roman" w:hAnsi="Times New Roman" w:cs="Times New Roman"/>
          <w:sz w:val="24"/>
          <w:szCs w:val="20"/>
        </w:rPr>
        <w:t>C</w:t>
      </w:r>
      <w:r w:rsidR="00F32C93">
        <w:rPr>
          <w:rFonts w:ascii="Times New Roman" w:hAnsi="Times New Roman" w:cs="Times New Roman"/>
          <w:sz w:val="24"/>
          <w:szCs w:val="20"/>
        </w:rPr>
        <w:t xml:space="preserve">ircuit precedent when </w:t>
      </w:r>
      <w:r w:rsidR="00355364">
        <w:rPr>
          <w:rFonts w:ascii="Times New Roman" w:hAnsi="Times New Roman" w:cs="Times New Roman"/>
          <w:sz w:val="24"/>
          <w:szCs w:val="20"/>
        </w:rPr>
        <w:t xml:space="preserve">analyzing </w:t>
      </w:r>
      <w:r w:rsidR="006F0C7A">
        <w:rPr>
          <w:rFonts w:ascii="Times New Roman" w:hAnsi="Times New Roman" w:cs="Times New Roman"/>
          <w:sz w:val="24"/>
          <w:szCs w:val="20"/>
        </w:rPr>
        <w:t>whether service has been provided</w:t>
      </w:r>
      <w:r w:rsidR="00355364">
        <w:rPr>
          <w:rFonts w:ascii="Times New Roman" w:hAnsi="Times New Roman" w:cs="Times New Roman"/>
          <w:sz w:val="24"/>
          <w:szCs w:val="20"/>
        </w:rPr>
        <w:t xml:space="preserve"> under </w:t>
      </w:r>
      <w:r w:rsidR="00355364" w:rsidRPr="00355364">
        <w:rPr>
          <w:rFonts w:ascii="Times New Roman" w:hAnsi="Times New Roman" w:cs="Times New Roman"/>
          <w:sz w:val="24"/>
          <w:szCs w:val="20"/>
        </w:rPr>
        <w:t>7 U.S.C § 1926</w:t>
      </w:r>
      <w:r w:rsidR="006F0C7A">
        <w:rPr>
          <w:rFonts w:ascii="Times New Roman" w:hAnsi="Times New Roman" w:cs="Times New Roman"/>
          <w:sz w:val="24"/>
          <w:szCs w:val="20"/>
        </w:rPr>
        <w:t>(b)</w:t>
      </w:r>
      <w:r w:rsidR="00F32C93">
        <w:rPr>
          <w:rFonts w:ascii="Times New Roman" w:hAnsi="Times New Roman" w:cs="Times New Roman"/>
          <w:sz w:val="24"/>
          <w:szCs w:val="20"/>
        </w:rPr>
        <w:t xml:space="preserve">. </w:t>
      </w:r>
    </w:p>
    <w:p w14:paraId="3F9D3674" w14:textId="1825DCDB" w:rsidR="00F32C93" w:rsidRDefault="00F32C93" w:rsidP="007A768E">
      <w:pPr>
        <w:spacing w:after="0" w:line="360" w:lineRule="auto"/>
        <w:ind w:firstLine="720"/>
        <w:jc w:val="both"/>
        <w:rPr>
          <w:rFonts w:ascii="Times New Roman" w:hAnsi="Times New Roman" w:cs="Times New Roman"/>
          <w:sz w:val="24"/>
          <w:szCs w:val="20"/>
        </w:rPr>
      </w:pPr>
      <w:r>
        <w:rPr>
          <w:rFonts w:ascii="Times New Roman" w:hAnsi="Times New Roman" w:cs="Times New Roman"/>
          <w:sz w:val="24"/>
          <w:szCs w:val="20"/>
        </w:rPr>
        <w:t>Staff requested abatement of this case to allow the 5</w:t>
      </w:r>
      <w:r w:rsidRPr="00AE307A">
        <w:rPr>
          <w:rFonts w:ascii="Times New Roman" w:hAnsi="Times New Roman" w:cs="Times New Roman"/>
          <w:sz w:val="24"/>
          <w:szCs w:val="20"/>
        </w:rPr>
        <w:t>th</w:t>
      </w:r>
      <w:r w:rsidRPr="00F94DA0">
        <w:rPr>
          <w:rFonts w:ascii="Times New Roman" w:hAnsi="Times New Roman" w:cs="Times New Roman"/>
          <w:sz w:val="24"/>
          <w:szCs w:val="20"/>
        </w:rPr>
        <w:t xml:space="preserve"> </w:t>
      </w:r>
      <w:r w:rsidR="00F94DA0">
        <w:rPr>
          <w:rFonts w:ascii="Times New Roman" w:hAnsi="Times New Roman" w:cs="Times New Roman"/>
          <w:sz w:val="24"/>
          <w:szCs w:val="20"/>
        </w:rPr>
        <w:t>C</w:t>
      </w:r>
      <w:r>
        <w:rPr>
          <w:rFonts w:ascii="Times New Roman" w:hAnsi="Times New Roman" w:cs="Times New Roman"/>
          <w:sz w:val="24"/>
          <w:szCs w:val="20"/>
        </w:rPr>
        <w:t xml:space="preserve">ircuit to resolve the interpretation of </w:t>
      </w:r>
      <w:r w:rsidRPr="00F32C93">
        <w:rPr>
          <w:rFonts w:ascii="Times New Roman" w:hAnsi="Times New Roman" w:cs="Times New Roman"/>
          <w:sz w:val="24"/>
          <w:szCs w:val="20"/>
        </w:rPr>
        <w:t>7 U.S.C § 1926(b).</w:t>
      </w:r>
      <w:r>
        <w:rPr>
          <w:rFonts w:ascii="Times New Roman" w:hAnsi="Times New Roman" w:cs="Times New Roman"/>
          <w:sz w:val="24"/>
          <w:szCs w:val="20"/>
        </w:rPr>
        <w:t xml:space="preserve"> Staff</w:t>
      </w:r>
      <w:r w:rsidR="00F94DA0">
        <w:rPr>
          <w:rFonts w:ascii="Times New Roman" w:hAnsi="Times New Roman" w:cs="Times New Roman"/>
          <w:sz w:val="24"/>
          <w:szCs w:val="20"/>
        </w:rPr>
        <w:t xml:space="preserve">’s position is that the </w:t>
      </w:r>
      <w:r w:rsidR="00FB27F6">
        <w:rPr>
          <w:rFonts w:ascii="Times New Roman" w:hAnsi="Times New Roman" w:cs="Times New Roman"/>
          <w:sz w:val="24"/>
          <w:szCs w:val="20"/>
        </w:rPr>
        <w:t>5</w:t>
      </w:r>
      <w:r w:rsidR="00FB27F6" w:rsidRPr="00FB27F6">
        <w:rPr>
          <w:rFonts w:ascii="Times New Roman" w:hAnsi="Times New Roman" w:cs="Times New Roman"/>
          <w:sz w:val="24"/>
          <w:szCs w:val="20"/>
        </w:rPr>
        <w:t>th</w:t>
      </w:r>
      <w:r w:rsidR="00FB27F6">
        <w:rPr>
          <w:rFonts w:ascii="Times New Roman" w:hAnsi="Times New Roman" w:cs="Times New Roman"/>
          <w:sz w:val="24"/>
          <w:szCs w:val="20"/>
        </w:rPr>
        <w:t xml:space="preserve"> Circuit decision as to whether </w:t>
      </w:r>
      <w:r w:rsidRPr="00F32C93">
        <w:rPr>
          <w:rFonts w:ascii="Times New Roman" w:hAnsi="Times New Roman" w:cs="Times New Roman"/>
          <w:i/>
          <w:iCs/>
          <w:sz w:val="24"/>
          <w:szCs w:val="20"/>
        </w:rPr>
        <w:t>North Alamo</w:t>
      </w:r>
      <w:r>
        <w:rPr>
          <w:rFonts w:ascii="Times New Roman" w:hAnsi="Times New Roman" w:cs="Times New Roman"/>
          <w:sz w:val="24"/>
          <w:szCs w:val="20"/>
        </w:rPr>
        <w:t xml:space="preserve"> </w:t>
      </w:r>
      <w:r w:rsidR="00FB27F6">
        <w:rPr>
          <w:rFonts w:ascii="Times New Roman" w:hAnsi="Times New Roman" w:cs="Times New Roman"/>
          <w:sz w:val="24"/>
          <w:szCs w:val="20"/>
        </w:rPr>
        <w:t xml:space="preserve">or </w:t>
      </w:r>
      <w:proofErr w:type="spellStart"/>
      <w:r w:rsidRPr="00F32C93">
        <w:rPr>
          <w:rFonts w:ascii="Times New Roman" w:hAnsi="Times New Roman" w:cs="Times New Roman"/>
          <w:i/>
          <w:iCs/>
          <w:sz w:val="24"/>
          <w:szCs w:val="20"/>
        </w:rPr>
        <w:t>Creedmore-Maha</w:t>
      </w:r>
      <w:proofErr w:type="spellEnd"/>
      <w:r w:rsidRPr="00F32C93">
        <w:rPr>
          <w:rFonts w:ascii="Times New Roman" w:hAnsi="Times New Roman" w:cs="Times New Roman"/>
          <w:i/>
          <w:iCs/>
          <w:sz w:val="24"/>
          <w:szCs w:val="20"/>
        </w:rPr>
        <w:t xml:space="preserve"> Water Supply Corp</w:t>
      </w:r>
      <w:r>
        <w:rPr>
          <w:rFonts w:ascii="Times New Roman" w:hAnsi="Times New Roman" w:cs="Times New Roman"/>
          <w:sz w:val="24"/>
          <w:szCs w:val="20"/>
        </w:rPr>
        <w:t xml:space="preserve">, as </w:t>
      </w:r>
      <w:r w:rsidRPr="00F32C93">
        <w:rPr>
          <w:rFonts w:ascii="Times New Roman" w:hAnsi="Times New Roman" w:cs="Times New Roman"/>
          <w:i/>
          <w:iCs/>
          <w:sz w:val="24"/>
          <w:szCs w:val="20"/>
        </w:rPr>
        <w:t>North Alamo</w:t>
      </w:r>
      <w:r>
        <w:rPr>
          <w:rFonts w:ascii="Times New Roman" w:hAnsi="Times New Roman" w:cs="Times New Roman"/>
          <w:sz w:val="24"/>
          <w:szCs w:val="20"/>
        </w:rPr>
        <w:t xml:space="preserve"> </w:t>
      </w:r>
      <w:r w:rsidR="00FB27F6">
        <w:rPr>
          <w:rFonts w:ascii="Times New Roman" w:hAnsi="Times New Roman" w:cs="Times New Roman"/>
          <w:sz w:val="24"/>
          <w:szCs w:val="20"/>
        </w:rPr>
        <w:t xml:space="preserve">controls </w:t>
      </w:r>
      <w:r>
        <w:rPr>
          <w:rFonts w:ascii="Times New Roman" w:hAnsi="Times New Roman" w:cs="Times New Roman"/>
          <w:sz w:val="24"/>
          <w:szCs w:val="20"/>
        </w:rPr>
        <w:t xml:space="preserve">what constitutes providing or making service available under </w:t>
      </w:r>
      <w:r w:rsidRPr="00F32C93">
        <w:rPr>
          <w:rFonts w:ascii="Times New Roman" w:hAnsi="Times New Roman" w:cs="Times New Roman"/>
          <w:sz w:val="24"/>
          <w:szCs w:val="20"/>
        </w:rPr>
        <w:t>7 U.S.C § 1926(b)</w:t>
      </w:r>
      <w:r w:rsidR="00E44DB5">
        <w:rPr>
          <w:rFonts w:ascii="Times New Roman" w:hAnsi="Times New Roman" w:cs="Times New Roman"/>
          <w:sz w:val="24"/>
          <w:szCs w:val="20"/>
        </w:rPr>
        <w:t xml:space="preserve"> is necessary before this docket can proceed</w:t>
      </w:r>
      <w:r>
        <w:rPr>
          <w:rFonts w:ascii="Times New Roman" w:hAnsi="Times New Roman" w:cs="Times New Roman"/>
          <w:sz w:val="24"/>
          <w:szCs w:val="20"/>
        </w:rPr>
        <w:t xml:space="preserve">. </w:t>
      </w:r>
      <w:r>
        <w:rPr>
          <w:rFonts w:ascii="Times New Roman" w:hAnsi="Times New Roman" w:cs="Times New Roman"/>
          <w:sz w:val="24"/>
          <w:szCs w:val="20"/>
        </w:rPr>
        <w:lastRenderedPageBreak/>
        <w:t xml:space="preserve">High Point </w:t>
      </w:r>
      <w:r w:rsidR="00CA7A6D">
        <w:rPr>
          <w:rFonts w:ascii="Times New Roman" w:hAnsi="Times New Roman" w:cs="Times New Roman"/>
          <w:sz w:val="24"/>
          <w:szCs w:val="20"/>
        </w:rPr>
        <w:t xml:space="preserve">holds </w:t>
      </w:r>
      <w:r>
        <w:rPr>
          <w:rFonts w:ascii="Times New Roman" w:hAnsi="Times New Roman" w:cs="Times New Roman"/>
          <w:sz w:val="24"/>
          <w:szCs w:val="20"/>
        </w:rPr>
        <w:t xml:space="preserve">CCN No. 10841 and there has been no evidence presented by Walden Pond or High Point that they do not meet the standard for providing service under </w:t>
      </w:r>
      <w:r w:rsidRPr="00F32C93">
        <w:rPr>
          <w:rFonts w:ascii="Times New Roman" w:hAnsi="Times New Roman" w:cs="Times New Roman"/>
          <w:i/>
          <w:iCs/>
          <w:sz w:val="24"/>
          <w:szCs w:val="20"/>
        </w:rPr>
        <w:t>North Alamo</w:t>
      </w:r>
      <w:r>
        <w:rPr>
          <w:rFonts w:ascii="Times New Roman" w:hAnsi="Times New Roman" w:cs="Times New Roman"/>
          <w:sz w:val="24"/>
          <w:szCs w:val="20"/>
        </w:rPr>
        <w:t xml:space="preserve">. Thus, </w:t>
      </w:r>
      <w:r w:rsidR="00A7400D">
        <w:rPr>
          <w:rFonts w:ascii="Times New Roman" w:hAnsi="Times New Roman" w:cs="Times New Roman"/>
          <w:sz w:val="24"/>
          <w:szCs w:val="20"/>
        </w:rPr>
        <w:t xml:space="preserve">this docket should be </w:t>
      </w:r>
      <w:r w:rsidR="00DF7B4B">
        <w:rPr>
          <w:rFonts w:ascii="Times New Roman" w:hAnsi="Times New Roman" w:cs="Times New Roman"/>
          <w:sz w:val="24"/>
          <w:szCs w:val="20"/>
        </w:rPr>
        <w:t>abate</w:t>
      </w:r>
      <w:r w:rsidR="00A7400D">
        <w:rPr>
          <w:rFonts w:ascii="Times New Roman" w:hAnsi="Times New Roman" w:cs="Times New Roman"/>
          <w:sz w:val="24"/>
          <w:szCs w:val="20"/>
        </w:rPr>
        <w:t>d</w:t>
      </w:r>
      <w:r w:rsidR="00DF7B4B">
        <w:rPr>
          <w:rFonts w:ascii="Times New Roman" w:hAnsi="Times New Roman" w:cs="Times New Roman"/>
          <w:sz w:val="24"/>
          <w:szCs w:val="20"/>
        </w:rPr>
        <w:t xml:space="preserve"> pending the </w:t>
      </w:r>
      <w:r w:rsidR="00CA7A6D">
        <w:rPr>
          <w:rFonts w:ascii="Times New Roman" w:hAnsi="Times New Roman" w:cs="Times New Roman"/>
          <w:sz w:val="24"/>
          <w:szCs w:val="20"/>
        </w:rPr>
        <w:t>5</w:t>
      </w:r>
      <w:r w:rsidR="00CA7A6D" w:rsidRPr="00A7400D">
        <w:rPr>
          <w:rFonts w:ascii="Times New Roman" w:hAnsi="Times New Roman" w:cs="Times New Roman"/>
          <w:sz w:val="24"/>
          <w:szCs w:val="20"/>
        </w:rPr>
        <w:t xml:space="preserve">th </w:t>
      </w:r>
      <w:r w:rsidR="00CA7A6D">
        <w:rPr>
          <w:rFonts w:ascii="Times New Roman" w:hAnsi="Times New Roman" w:cs="Times New Roman"/>
          <w:sz w:val="24"/>
          <w:szCs w:val="20"/>
        </w:rPr>
        <w:t xml:space="preserve">Circuit’s </w:t>
      </w:r>
      <w:r w:rsidR="00DF7B4B">
        <w:rPr>
          <w:rFonts w:ascii="Times New Roman" w:hAnsi="Times New Roman" w:cs="Times New Roman"/>
          <w:sz w:val="24"/>
          <w:szCs w:val="20"/>
        </w:rPr>
        <w:t xml:space="preserve">decision in </w:t>
      </w:r>
      <w:r w:rsidR="00DF7B4B" w:rsidRPr="00DF7B4B">
        <w:rPr>
          <w:rFonts w:ascii="Times New Roman" w:hAnsi="Times New Roman" w:cs="Times New Roman"/>
          <w:i/>
          <w:iCs/>
          <w:sz w:val="24"/>
          <w:szCs w:val="20"/>
        </w:rPr>
        <w:t>Crystal Clear Special Utility District</w:t>
      </w:r>
      <w:r w:rsidR="00DF7B4B">
        <w:rPr>
          <w:rFonts w:ascii="Times New Roman" w:hAnsi="Times New Roman" w:cs="Times New Roman"/>
          <w:sz w:val="24"/>
          <w:szCs w:val="20"/>
        </w:rPr>
        <w:t>.</w:t>
      </w:r>
    </w:p>
    <w:p w14:paraId="328A1705" w14:textId="77777777" w:rsidR="00A7400D" w:rsidRPr="00264B25" w:rsidRDefault="00A7400D" w:rsidP="007A768E">
      <w:pPr>
        <w:spacing w:after="0" w:line="360" w:lineRule="auto"/>
        <w:ind w:firstLine="720"/>
        <w:jc w:val="both"/>
        <w:rPr>
          <w:rFonts w:ascii="Times New Roman" w:eastAsia="Times New Roman" w:hAnsi="Times New Roman" w:cs="Times New Roman"/>
          <w:bCs/>
          <w:sz w:val="24"/>
          <w:szCs w:val="24"/>
        </w:rPr>
      </w:pPr>
    </w:p>
    <w:p w14:paraId="2968001E" w14:textId="1439ED83" w:rsidR="00264B25" w:rsidRPr="00DF7B4B" w:rsidRDefault="00DF7B4B" w:rsidP="00DF7B4B">
      <w:pPr>
        <w:pStyle w:val="ListParagraph"/>
        <w:numPr>
          <w:ilvl w:val="0"/>
          <w:numId w:val="3"/>
        </w:numPr>
        <w:spacing w:after="0" w:line="360" w:lineRule="auto"/>
        <w:jc w:val="both"/>
        <w:rPr>
          <w:rFonts w:ascii="Times New Roman" w:eastAsia="Times New Roman" w:hAnsi="Times New Roman" w:cs="Times New Roman"/>
          <w:b/>
          <w:sz w:val="24"/>
          <w:szCs w:val="24"/>
        </w:rPr>
      </w:pPr>
      <w:r w:rsidRPr="00DF7B4B">
        <w:rPr>
          <w:rFonts w:ascii="Times New Roman" w:eastAsia="Times New Roman" w:hAnsi="Times New Roman" w:cs="Times New Roman"/>
          <w:b/>
          <w:sz w:val="24"/>
          <w:szCs w:val="24"/>
        </w:rPr>
        <w:t xml:space="preserve">Adequate Service under </w:t>
      </w:r>
      <w:proofErr w:type="spellStart"/>
      <w:r w:rsidRPr="00686655">
        <w:rPr>
          <w:rFonts w:ascii="Times New Roman" w:eastAsia="Times New Roman" w:hAnsi="Times New Roman" w:cs="Times New Roman"/>
          <w:b/>
          <w:i/>
          <w:iCs/>
          <w:sz w:val="24"/>
          <w:szCs w:val="24"/>
        </w:rPr>
        <w:t>Creedmore-Maha</w:t>
      </w:r>
      <w:proofErr w:type="spellEnd"/>
      <w:r w:rsidRPr="00DF7B4B">
        <w:rPr>
          <w:rFonts w:ascii="Times New Roman" w:eastAsia="Times New Roman" w:hAnsi="Times New Roman" w:cs="Times New Roman"/>
          <w:b/>
          <w:sz w:val="24"/>
          <w:szCs w:val="24"/>
        </w:rPr>
        <w:t xml:space="preserve"> Standard</w:t>
      </w:r>
    </w:p>
    <w:p w14:paraId="15D93BBE" w14:textId="225E755C" w:rsidR="00264B25" w:rsidRPr="00264B25" w:rsidRDefault="001C0C56" w:rsidP="009467DE">
      <w:pPr>
        <w:spacing w:after="0" w:line="360" w:lineRule="auto"/>
        <w:ind w:firstLine="72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If </w:t>
      </w:r>
      <w:r w:rsidR="00DF7B4B">
        <w:rPr>
          <w:rFonts w:ascii="Times New Roman" w:eastAsia="Times New Roman" w:hAnsi="Times New Roman" w:cs="Times New Roman"/>
          <w:bCs/>
          <w:sz w:val="24"/>
          <w:szCs w:val="24"/>
        </w:rPr>
        <w:t xml:space="preserve">the </w:t>
      </w:r>
      <w:r w:rsidR="0050624A">
        <w:rPr>
          <w:rFonts w:ascii="Times New Roman" w:eastAsia="Times New Roman" w:hAnsi="Times New Roman" w:cs="Times New Roman"/>
          <w:bCs/>
          <w:sz w:val="24"/>
          <w:szCs w:val="24"/>
        </w:rPr>
        <w:t xml:space="preserve">standard set out in </w:t>
      </w:r>
      <w:r w:rsidR="0050624A" w:rsidRPr="0050624A">
        <w:rPr>
          <w:rFonts w:ascii="Times New Roman" w:eastAsia="Times New Roman" w:hAnsi="Times New Roman" w:cs="Times New Roman"/>
          <w:bCs/>
          <w:i/>
          <w:iCs/>
          <w:sz w:val="24"/>
          <w:szCs w:val="24"/>
        </w:rPr>
        <w:t>Creedmoor-</w:t>
      </w:r>
      <w:proofErr w:type="spellStart"/>
      <w:r w:rsidR="0050624A" w:rsidRPr="0050624A">
        <w:rPr>
          <w:rFonts w:ascii="Times New Roman" w:eastAsia="Times New Roman" w:hAnsi="Times New Roman" w:cs="Times New Roman"/>
          <w:bCs/>
          <w:i/>
          <w:iCs/>
          <w:sz w:val="24"/>
          <w:szCs w:val="24"/>
        </w:rPr>
        <w:t>Maha</w:t>
      </w:r>
      <w:proofErr w:type="spellEnd"/>
      <w:r w:rsidR="0050624A" w:rsidRPr="0050624A">
        <w:rPr>
          <w:rFonts w:ascii="Times New Roman" w:eastAsia="Times New Roman" w:hAnsi="Times New Roman" w:cs="Times New Roman"/>
          <w:bCs/>
          <w:i/>
          <w:iCs/>
          <w:sz w:val="24"/>
          <w:szCs w:val="24"/>
        </w:rPr>
        <w:t xml:space="preserve"> Water Supply Corp</w:t>
      </w:r>
      <w:r w:rsidR="00DF7B4B">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 xml:space="preserve">is applied, </w:t>
      </w:r>
      <w:r w:rsidR="00DF7B4B">
        <w:rPr>
          <w:rFonts w:ascii="Times New Roman" w:eastAsia="Times New Roman" w:hAnsi="Times New Roman" w:cs="Times New Roman"/>
          <w:bCs/>
          <w:sz w:val="24"/>
          <w:szCs w:val="24"/>
        </w:rPr>
        <w:t xml:space="preserve">as Walden Pond has urged the Commission to do, there is still evidence that High Point has provided or made service available to the area </w:t>
      </w:r>
      <w:r w:rsidR="00204D37">
        <w:rPr>
          <w:rFonts w:ascii="Times New Roman" w:eastAsia="Times New Roman" w:hAnsi="Times New Roman" w:cs="Times New Roman"/>
          <w:bCs/>
          <w:sz w:val="24"/>
          <w:szCs w:val="24"/>
        </w:rPr>
        <w:t xml:space="preserve">from which </w:t>
      </w:r>
      <w:r w:rsidR="00DF7B4B">
        <w:rPr>
          <w:rFonts w:ascii="Times New Roman" w:eastAsia="Times New Roman" w:hAnsi="Times New Roman" w:cs="Times New Roman"/>
          <w:bCs/>
          <w:sz w:val="24"/>
          <w:szCs w:val="24"/>
        </w:rPr>
        <w:t xml:space="preserve">Walden Pond seeks expedited release. </w:t>
      </w:r>
      <w:r w:rsidR="0050624A">
        <w:rPr>
          <w:rFonts w:ascii="Times New Roman" w:eastAsia="Times New Roman" w:hAnsi="Times New Roman" w:cs="Times New Roman"/>
          <w:bCs/>
          <w:sz w:val="24"/>
          <w:szCs w:val="24"/>
        </w:rPr>
        <w:t xml:space="preserve">High Point in </w:t>
      </w:r>
      <w:r w:rsidR="009467DE">
        <w:rPr>
          <w:rFonts w:ascii="Times New Roman" w:eastAsia="Times New Roman" w:hAnsi="Times New Roman" w:cs="Times New Roman"/>
          <w:bCs/>
          <w:sz w:val="24"/>
          <w:szCs w:val="24"/>
        </w:rPr>
        <w:t>their</w:t>
      </w:r>
      <w:r w:rsidR="0050624A">
        <w:rPr>
          <w:rFonts w:ascii="Times New Roman" w:eastAsia="Times New Roman" w:hAnsi="Times New Roman" w:cs="Times New Roman"/>
          <w:bCs/>
          <w:sz w:val="24"/>
          <w:szCs w:val="24"/>
        </w:rPr>
        <w:t xml:space="preserve"> Response and Motion to Dismiss Exhibits </w:t>
      </w:r>
      <w:r w:rsidR="009467DE">
        <w:rPr>
          <w:rFonts w:ascii="Times New Roman" w:eastAsia="Times New Roman" w:hAnsi="Times New Roman" w:cs="Times New Roman"/>
          <w:bCs/>
          <w:sz w:val="24"/>
          <w:szCs w:val="24"/>
        </w:rPr>
        <w:t>“C” and “D” provided evidence that there was a “</w:t>
      </w:r>
      <w:r w:rsidR="009467DE" w:rsidRPr="009467DE">
        <w:rPr>
          <w:rFonts w:ascii="Times New Roman" w:eastAsia="Times New Roman" w:hAnsi="Times New Roman" w:cs="Times New Roman"/>
          <w:bCs/>
          <w:sz w:val="24"/>
          <w:szCs w:val="24"/>
        </w:rPr>
        <w:t>5/8" x 3/4" water meter (#382)</w:t>
      </w:r>
      <w:r w:rsidR="009467DE">
        <w:rPr>
          <w:rFonts w:ascii="Times New Roman" w:eastAsia="Times New Roman" w:hAnsi="Times New Roman" w:cs="Times New Roman"/>
          <w:bCs/>
          <w:sz w:val="24"/>
          <w:szCs w:val="24"/>
        </w:rPr>
        <w:t>” currently serving the property.</w:t>
      </w:r>
      <w:r w:rsidR="009467DE">
        <w:rPr>
          <w:rStyle w:val="FootnoteReference"/>
          <w:rFonts w:ascii="Times New Roman" w:eastAsia="Times New Roman" w:hAnsi="Times New Roman" w:cs="Times New Roman"/>
          <w:bCs/>
          <w:szCs w:val="24"/>
        </w:rPr>
        <w:footnoteReference w:id="16"/>
      </w:r>
      <w:r w:rsidR="009467DE">
        <w:rPr>
          <w:rFonts w:ascii="Times New Roman" w:eastAsia="Times New Roman" w:hAnsi="Times New Roman" w:cs="Times New Roman"/>
          <w:bCs/>
          <w:sz w:val="24"/>
          <w:szCs w:val="24"/>
        </w:rPr>
        <w:t xml:space="preserve"> Walden Pond </w:t>
      </w:r>
      <w:r w:rsidR="00660491">
        <w:rPr>
          <w:rFonts w:ascii="Times New Roman" w:eastAsia="Times New Roman" w:hAnsi="Times New Roman" w:cs="Times New Roman"/>
          <w:bCs/>
          <w:sz w:val="24"/>
          <w:szCs w:val="24"/>
        </w:rPr>
        <w:t xml:space="preserve">claims that </w:t>
      </w:r>
      <w:r w:rsidR="009467DE">
        <w:rPr>
          <w:rFonts w:ascii="Times New Roman" w:eastAsia="Times New Roman" w:hAnsi="Times New Roman" w:cs="Times New Roman"/>
          <w:bCs/>
          <w:sz w:val="24"/>
          <w:szCs w:val="24"/>
        </w:rPr>
        <w:t>“</w:t>
      </w:r>
      <w:r w:rsidR="009467DE" w:rsidRPr="009467DE">
        <w:rPr>
          <w:rFonts w:ascii="Times New Roman" w:eastAsia="Times New Roman" w:hAnsi="Times New Roman" w:cs="Times New Roman"/>
          <w:bCs/>
          <w:sz w:val="24"/>
          <w:szCs w:val="24"/>
        </w:rPr>
        <w:t xml:space="preserve">Meter #382 </w:t>
      </w:r>
      <w:r w:rsidR="00FA4E5D">
        <w:rPr>
          <w:rFonts w:ascii="Times New Roman" w:eastAsia="Times New Roman" w:hAnsi="Times New Roman" w:cs="Times New Roman"/>
          <w:bCs/>
          <w:sz w:val="24"/>
          <w:szCs w:val="24"/>
        </w:rPr>
        <w:t>referenced by</w:t>
      </w:r>
      <w:r w:rsidR="009467DE" w:rsidRPr="009467DE">
        <w:rPr>
          <w:rFonts w:ascii="Times New Roman" w:eastAsia="Times New Roman" w:hAnsi="Times New Roman" w:cs="Times New Roman"/>
          <w:bCs/>
          <w:sz w:val="24"/>
          <w:szCs w:val="24"/>
        </w:rPr>
        <w:t xml:space="preserve"> High Point is surrounded by the Property</w:t>
      </w:r>
      <w:r w:rsidR="009467DE">
        <w:rPr>
          <w:rFonts w:ascii="Times New Roman" w:eastAsia="Times New Roman" w:hAnsi="Times New Roman" w:cs="Times New Roman"/>
          <w:bCs/>
          <w:sz w:val="24"/>
          <w:szCs w:val="24"/>
        </w:rPr>
        <w:t>…</w:t>
      </w:r>
      <w:r w:rsidR="009467DE" w:rsidRPr="009467DE">
        <w:t xml:space="preserve"> </w:t>
      </w:r>
      <w:r w:rsidR="009467DE" w:rsidRPr="009467DE">
        <w:rPr>
          <w:rFonts w:ascii="Times New Roman" w:eastAsia="Times New Roman" w:hAnsi="Times New Roman" w:cs="Times New Roman"/>
          <w:bCs/>
          <w:sz w:val="24"/>
          <w:szCs w:val="24"/>
        </w:rPr>
        <w:t xml:space="preserve">but </w:t>
      </w:r>
      <w:r w:rsidR="009467DE" w:rsidRPr="009467DE">
        <w:rPr>
          <w:rFonts w:ascii="Times New Roman" w:eastAsia="Times New Roman" w:hAnsi="Times New Roman" w:cs="Times New Roman"/>
          <w:bCs/>
          <w:i/>
          <w:iCs/>
          <w:sz w:val="24"/>
          <w:szCs w:val="24"/>
        </w:rPr>
        <w:t>not part</w:t>
      </w:r>
      <w:r w:rsidR="009467DE" w:rsidRPr="009467DE">
        <w:rPr>
          <w:rFonts w:ascii="Times New Roman" w:eastAsia="Times New Roman" w:hAnsi="Times New Roman" w:cs="Times New Roman"/>
          <w:bCs/>
          <w:sz w:val="24"/>
          <w:szCs w:val="24"/>
        </w:rPr>
        <w:t xml:space="preserve"> of the Property for which Petitioner seeks decertification</w:t>
      </w:r>
      <w:r w:rsidR="009467DE">
        <w:rPr>
          <w:rFonts w:ascii="Times New Roman" w:eastAsia="Times New Roman" w:hAnsi="Times New Roman" w:cs="Times New Roman"/>
          <w:bCs/>
          <w:sz w:val="24"/>
          <w:szCs w:val="24"/>
        </w:rPr>
        <w:t>.”</w:t>
      </w:r>
      <w:r w:rsidR="009467DE">
        <w:rPr>
          <w:rStyle w:val="FootnoteReference"/>
          <w:rFonts w:ascii="Times New Roman" w:eastAsia="Times New Roman" w:hAnsi="Times New Roman" w:cs="Times New Roman"/>
          <w:bCs/>
          <w:szCs w:val="24"/>
        </w:rPr>
        <w:footnoteReference w:id="17"/>
      </w:r>
      <w:r w:rsidR="009467DE">
        <w:rPr>
          <w:rFonts w:ascii="Times New Roman" w:eastAsia="Times New Roman" w:hAnsi="Times New Roman" w:cs="Times New Roman"/>
          <w:bCs/>
          <w:sz w:val="24"/>
          <w:szCs w:val="24"/>
        </w:rPr>
        <w:t xml:space="preserve"> </w:t>
      </w:r>
      <w:r w:rsidR="00F3298D">
        <w:rPr>
          <w:rFonts w:ascii="Times New Roman" w:eastAsia="Times New Roman" w:hAnsi="Times New Roman" w:cs="Times New Roman"/>
          <w:bCs/>
          <w:sz w:val="24"/>
          <w:szCs w:val="24"/>
        </w:rPr>
        <w:t>Whether the property is receiving service from that meter</w:t>
      </w:r>
      <w:r w:rsidR="00C77566">
        <w:rPr>
          <w:rFonts w:ascii="Times New Roman" w:eastAsia="Times New Roman" w:hAnsi="Times New Roman" w:cs="Times New Roman"/>
          <w:bCs/>
          <w:sz w:val="24"/>
          <w:szCs w:val="24"/>
        </w:rPr>
        <w:t xml:space="preserve"> or not, </w:t>
      </w:r>
      <w:r w:rsidR="00F3298D">
        <w:rPr>
          <w:rFonts w:ascii="Times New Roman" w:eastAsia="Times New Roman" w:hAnsi="Times New Roman" w:cs="Times New Roman"/>
          <w:bCs/>
          <w:sz w:val="24"/>
          <w:szCs w:val="24"/>
        </w:rPr>
        <w:t xml:space="preserve">there </w:t>
      </w:r>
      <w:r w:rsidR="003A71FB">
        <w:rPr>
          <w:rFonts w:ascii="Times New Roman" w:eastAsia="Times New Roman" w:hAnsi="Times New Roman" w:cs="Times New Roman"/>
          <w:bCs/>
          <w:sz w:val="24"/>
          <w:szCs w:val="24"/>
        </w:rPr>
        <w:t>has been</w:t>
      </w:r>
      <w:r w:rsidR="00F3298D">
        <w:rPr>
          <w:rFonts w:ascii="Times New Roman" w:eastAsia="Times New Roman" w:hAnsi="Times New Roman" w:cs="Times New Roman"/>
          <w:bCs/>
          <w:sz w:val="24"/>
          <w:szCs w:val="24"/>
        </w:rPr>
        <w:t xml:space="preserve"> evidence pr</w:t>
      </w:r>
      <w:r w:rsidR="003A71FB">
        <w:rPr>
          <w:rFonts w:ascii="Times New Roman" w:eastAsia="Times New Roman" w:hAnsi="Times New Roman" w:cs="Times New Roman"/>
          <w:bCs/>
          <w:sz w:val="24"/>
          <w:szCs w:val="24"/>
        </w:rPr>
        <w:t>esented</w:t>
      </w:r>
      <w:r w:rsidR="00F3298D">
        <w:rPr>
          <w:rFonts w:ascii="Times New Roman" w:eastAsia="Times New Roman" w:hAnsi="Times New Roman" w:cs="Times New Roman"/>
          <w:bCs/>
          <w:sz w:val="24"/>
          <w:szCs w:val="24"/>
        </w:rPr>
        <w:t xml:space="preserve"> that service is being provided even under the stricter </w:t>
      </w:r>
      <w:r w:rsidR="00F3298D" w:rsidRPr="00F3298D">
        <w:rPr>
          <w:rFonts w:ascii="Times New Roman" w:eastAsia="Times New Roman" w:hAnsi="Times New Roman" w:cs="Times New Roman"/>
          <w:bCs/>
          <w:i/>
          <w:iCs/>
          <w:sz w:val="24"/>
          <w:szCs w:val="24"/>
        </w:rPr>
        <w:t>Creedmoor-</w:t>
      </w:r>
      <w:proofErr w:type="spellStart"/>
      <w:r w:rsidR="00F3298D" w:rsidRPr="00F3298D">
        <w:rPr>
          <w:rFonts w:ascii="Times New Roman" w:eastAsia="Times New Roman" w:hAnsi="Times New Roman" w:cs="Times New Roman"/>
          <w:bCs/>
          <w:i/>
          <w:iCs/>
          <w:sz w:val="24"/>
          <w:szCs w:val="24"/>
        </w:rPr>
        <w:t>Maha</w:t>
      </w:r>
      <w:proofErr w:type="spellEnd"/>
      <w:r w:rsidR="00F3298D" w:rsidRPr="00F3298D">
        <w:rPr>
          <w:rFonts w:ascii="Times New Roman" w:eastAsia="Times New Roman" w:hAnsi="Times New Roman" w:cs="Times New Roman"/>
          <w:bCs/>
          <w:i/>
          <w:iCs/>
          <w:sz w:val="24"/>
          <w:szCs w:val="24"/>
        </w:rPr>
        <w:t xml:space="preserve"> Water Supply Corp</w:t>
      </w:r>
      <w:r w:rsidR="00F3298D">
        <w:rPr>
          <w:rFonts w:ascii="Times New Roman" w:eastAsia="Times New Roman" w:hAnsi="Times New Roman" w:cs="Times New Roman"/>
          <w:bCs/>
          <w:sz w:val="24"/>
          <w:szCs w:val="24"/>
        </w:rPr>
        <w:t xml:space="preserve"> standard </w:t>
      </w:r>
      <w:r w:rsidR="006F0C7A">
        <w:rPr>
          <w:rFonts w:ascii="Times New Roman" w:eastAsia="Times New Roman" w:hAnsi="Times New Roman" w:cs="Times New Roman"/>
          <w:bCs/>
          <w:sz w:val="24"/>
          <w:szCs w:val="24"/>
        </w:rPr>
        <w:t xml:space="preserve">which </w:t>
      </w:r>
      <w:r w:rsidR="00F3298D">
        <w:rPr>
          <w:rFonts w:ascii="Times New Roman" w:eastAsia="Times New Roman" w:hAnsi="Times New Roman" w:cs="Times New Roman"/>
          <w:bCs/>
          <w:sz w:val="24"/>
          <w:szCs w:val="24"/>
        </w:rPr>
        <w:t xml:space="preserve">Walden Pond has urged the Commission to follow. Thus, even under this standard High Point meets the requirements of </w:t>
      </w:r>
      <w:r w:rsidR="00F3298D" w:rsidRPr="00F3298D">
        <w:rPr>
          <w:rFonts w:ascii="Times New Roman" w:eastAsia="Times New Roman" w:hAnsi="Times New Roman" w:cs="Times New Roman"/>
          <w:bCs/>
          <w:sz w:val="24"/>
          <w:szCs w:val="24"/>
        </w:rPr>
        <w:t>7 U.S.C § 1926(b)</w:t>
      </w:r>
      <w:r w:rsidR="00F3298D">
        <w:rPr>
          <w:rFonts w:ascii="Times New Roman" w:eastAsia="Times New Roman" w:hAnsi="Times New Roman" w:cs="Times New Roman"/>
          <w:bCs/>
          <w:sz w:val="24"/>
          <w:szCs w:val="24"/>
        </w:rPr>
        <w:t xml:space="preserve"> and falls under the protections of </w:t>
      </w:r>
      <w:r w:rsidR="00F3298D" w:rsidRPr="00F3298D">
        <w:rPr>
          <w:rFonts w:ascii="Times New Roman" w:eastAsia="Times New Roman" w:hAnsi="Times New Roman" w:cs="Times New Roman"/>
          <w:bCs/>
          <w:sz w:val="24"/>
          <w:szCs w:val="24"/>
        </w:rPr>
        <w:t>7 U.S.C § 1926</w:t>
      </w:r>
      <w:r w:rsidR="00F3298D">
        <w:rPr>
          <w:rFonts w:ascii="Times New Roman" w:eastAsia="Times New Roman" w:hAnsi="Times New Roman" w:cs="Times New Roman"/>
          <w:bCs/>
          <w:sz w:val="24"/>
          <w:szCs w:val="24"/>
        </w:rPr>
        <w:t>.</w:t>
      </w:r>
    </w:p>
    <w:p w14:paraId="3E3751FB" w14:textId="77777777" w:rsidR="00355364" w:rsidRDefault="00355364" w:rsidP="00355364">
      <w:pPr>
        <w:spacing w:after="0" w:line="360" w:lineRule="auto"/>
        <w:jc w:val="both"/>
        <w:rPr>
          <w:rFonts w:ascii="Times New Roman" w:hAnsi="Times New Roman" w:cs="Times New Roman"/>
          <w:sz w:val="24"/>
          <w:szCs w:val="20"/>
        </w:rPr>
      </w:pPr>
    </w:p>
    <w:p w14:paraId="6B50E658" w14:textId="661A4E37" w:rsidR="00355364" w:rsidRPr="00DD4169" w:rsidRDefault="00355364" w:rsidP="00355364">
      <w:pPr>
        <w:numPr>
          <w:ilvl w:val="0"/>
          <w:numId w:val="1"/>
        </w:numPr>
        <w:spacing w:after="0" w:line="360" w:lineRule="auto"/>
        <w:contextualSpacing/>
        <w:jc w:val="center"/>
        <w:rPr>
          <w:rFonts w:ascii="Times New Roman" w:eastAsia="Times New Roman" w:hAnsi="Times New Roman" w:cs="Times New Roman"/>
          <w:b/>
          <w:sz w:val="24"/>
          <w:szCs w:val="20"/>
        </w:rPr>
      </w:pPr>
      <w:r>
        <w:rPr>
          <w:rFonts w:ascii="Times New Roman" w:eastAsia="Times New Roman" w:hAnsi="Times New Roman" w:cs="Times New Roman"/>
          <w:b/>
          <w:sz w:val="24"/>
          <w:szCs w:val="20"/>
        </w:rPr>
        <w:t>STAFF’S</w:t>
      </w:r>
      <w:r w:rsidR="00FE231B">
        <w:rPr>
          <w:rFonts w:ascii="Times New Roman" w:eastAsia="Times New Roman" w:hAnsi="Times New Roman" w:cs="Times New Roman"/>
          <w:b/>
          <w:sz w:val="24"/>
          <w:szCs w:val="20"/>
        </w:rPr>
        <w:t xml:space="preserve"> </w:t>
      </w:r>
      <w:r w:rsidR="00AD0007">
        <w:rPr>
          <w:rFonts w:ascii="Times New Roman" w:eastAsia="Times New Roman" w:hAnsi="Times New Roman" w:cs="Times New Roman"/>
          <w:b/>
          <w:sz w:val="24"/>
          <w:szCs w:val="20"/>
        </w:rPr>
        <w:t>RESPONSE</w:t>
      </w:r>
    </w:p>
    <w:p w14:paraId="4184F5D7" w14:textId="28113EE8" w:rsidR="00FE231B" w:rsidRDefault="00355364" w:rsidP="00FE231B">
      <w:pPr>
        <w:spacing w:after="0" w:line="360" w:lineRule="auto"/>
        <w:ind w:firstLine="720"/>
        <w:jc w:val="both"/>
        <w:rPr>
          <w:rFonts w:ascii="Times New Roman" w:hAnsi="Times New Roman" w:cs="Times New Roman"/>
          <w:sz w:val="24"/>
          <w:szCs w:val="20"/>
        </w:rPr>
      </w:pPr>
      <w:r>
        <w:rPr>
          <w:rFonts w:ascii="Times New Roman" w:eastAsia="Times New Roman" w:hAnsi="Times New Roman" w:cs="Times New Roman"/>
          <w:bCs/>
          <w:sz w:val="24"/>
          <w:szCs w:val="24"/>
        </w:rPr>
        <w:t xml:space="preserve">Staff </w:t>
      </w:r>
      <w:r w:rsidR="00A91162">
        <w:rPr>
          <w:rFonts w:ascii="Times New Roman" w:eastAsia="Times New Roman" w:hAnsi="Times New Roman" w:cs="Times New Roman"/>
          <w:bCs/>
          <w:sz w:val="24"/>
          <w:szCs w:val="24"/>
        </w:rPr>
        <w:t xml:space="preserve">respectfully </w:t>
      </w:r>
      <w:r w:rsidR="00235DD5">
        <w:rPr>
          <w:rFonts w:ascii="Times New Roman" w:eastAsia="Times New Roman" w:hAnsi="Times New Roman" w:cs="Times New Roman"/>
          <w:bCs/>
          <w:sz w:val="24"/>
          <w:szCs w:val="24"/>
        </w:rPr>
        <w:t>requests</w:t>
      </w:r>
      <w:r>
        <w:rPr>
          <w:rFonts w:ascii="Times New Roman" w:eastAsia="Times New Roman" w:hAnsi="Times New Roman" w:cs="Times New Roman"/>
          <w:bCs/>
          <w:sz w:val="24"/>
          <w:szCs w:val="24"/>
        </w:rPr>
        <w:t xml:space="preserve"> that</w:t>
      </w:r>
      <w:r w:rsidR="0024214C">
        <w:rPr>
          <w:rFonts w:ascii="Times New Roman" w:eastAsia="Times New Roman" w:hAnsi="Times New Roman" w:cs="Times New Roman"/>
          <w:bCs/>
          <w:sz w:val="24"/>
          <w:szCs w:val="24"/>
        </w:rPr>
        <w:t xml:space="preserve"> this docket be</w:t>
      </w:r>
      <w:r>
        <w:rPr>
          <w:rFonts w:ascii="Times New Roman" w:eastAsia="Times New Roman" w:hAnsi="Times New Roman" w:cs="Times New Roman"/>
          <w:bCs/>
          <w:sz w:val="24"/>
          <w:szCs w:val="24"/>
        </w:rPr>
        <w:t xml:space="preserve"> </w:t>
      </w:r>
      <w:r w:rsidR="00235DD5">
        <w:rPr>
          <w:rFonts w:ascii="Times New Roman" w:eastAsia="Times New Roman" w:hAnsi="Times New Roman" w:cs="Times New Roman"/>
          <w:bCs/>
          <w:sz w:val="24"/>
          <w:szCs w:val="24"/>
        </w:rPr>
        <w:t>abate</w:t>
      </w:r>
      <w:r w:rsidR="0024214C">
        <w:rPr>
          <w:rFonts w:ascii="Times New Roman" w:eastAsia="Times New Roman" w:hAnsi="Times New Roman" w:cs="Times New Roman"/>
          <w:bCs/>
          <w:sz w:val="24"/>
          <w:szCs w:val="24"/>
        </w:rPr>
        <w:t>d</w:t>
      </w:r>
      <w:r w:rsidR="00235DD5">
        <w:rPr>
          <w:rFonts w:ascii="Times New Roman" w:eastAsia="Times New Roman" w:hAnsi="Times New Roman" w:cs="Times New Roman"/>
          <w:bCs/>
          <w:sz w:val="24"/>
          <w:szCs w:val="24"/>
        </w:rPr>
        <w:t xml:space="preserve"> pending the </w:t>
      </w:r>
      <w:r w:rsidR="00813FB4">
        <w:rPr>
          <w:rFonts w:ascii="Times New Roman" w:hAnsi="Times New Roman" w:cs="Times New Roman"/>
          <w:sz w:val="24"/>
          <w:szCs w:val="20"/>
        </w:rPr>
        <w:t>5</w:t>
      </w:r>
      <w:r w:rsidR="00813FB4" w:rsidRPr="00AE307A">
        <w:rPr>
          <w:rFonts w:ascii="Times New Roman" w:hAnsi="Times New Roman" w:cs="Times New Roman"/>
          <w:sz w:val="24"/>
          <w:szCs w:val="20"/>
        </w:rPr>
        <w:t>th</w:t>
      </w:r>
      <w:r w:rsidR="00813FB4">
        <w:rPr>
          <w:rFonts w:ascii="Times New Roman" w:hAnsi="Times New Roman" w:cs="Times New Roman"/>
          <w:sz w:val="24"/>
          <w:szCs w:val="20"/>
        </w:rPr>
        <w:t xml:space="preserve"> Circuit’s decision in </w:t>
      </w:r>
      <w:r w:rsidR="00235DD5" w:rsidRPr="00B46250">
        <w:rPr>
          <w:rFonts w:ascii="Times New Roman" w:hAnsi="Times New Roman" w:cs="Times New Roman"/>
          <w:i/>
          <w:iCs/>
          <w:sz w:val="24"/>
          <w:szCs w:val="20"/>
        </w:rPr>
        <w:t>Crystal Clear Special Utility District v. Walker</w:t>
      </w:r>
      <w:r w:rsidR="00235DD5">
        <w:rPr>
          <w:rFonts w:ascii="Times New Roman" w:hAnsi="Times New Roman" w:cs="Times New Roman"/>
          <w:i/>
          <w:iCs/>
          <w:sz w:val="24"/>
          <w:szCs w:val="20"/>
        </w:rPr>
        <w:t xml:space="preserve"> </w:t>
      </w:r>
      <w:r w:rsidR="00235DD5">
        <w:rPr>
          <w:rFonts w:ascii="Times New Roman" w:hAnsi="Times New Roman" w:cs="Times New Roman"/>
          <w:sz w:val="24"/>
          <w:szCs w:val="20"/>
        </w:rPr>
        <w:t xml:space="preserve">to establish precedent for how the Commission should </w:t>
      </w:r>
      <w:r w:rsidR="008600E9">
        <w:rPr>
          <w:rFonts w:ascii="Times New Roman" w:hAnsi="Times New Roman" w:cs="Times New Roman"/>
          <w:sz w:val="24"/>
          <w:szCs w:val="20"/>
        </w:rPr>
        <w:t xml:space="preserve">address </w:t>
      </w:r>
      <w:r w:rsidR="00235DD5">
        <w:rPr>
          <w:rFonts w:ascii="Times New Roman" w:hAnsi="Times New Roman" w:cs="Times New Roman"/>
          <w:sz w:val="24"/>
          <w:szCs w:val="20"/>
        </w:rPr>
        <w:t xml:space="preserve">petition’s for expedited release from utilities that are federally indebted under </w:t>
      </w:r>
      <w:r w:rsidR="00235DD5" w:rsidRPr="00235DD5">
        <w:rPr>
          <w:rFonts w:ascii="Times New Roman" w:hAnsi="Times New Roman" w:cs="Times New Roman"/>
          <w:sz w:val="24"/>
          <w:szCs w:val="20"/>
        </w:rPr>
        <w:t>7 U.S.C § 1926</w:t>
      </w:r>
      <w:r w:rsidR="00235DD5">
        <w:rPr>
          <w:rFonts w:ascii="Times New Roman" w:hAnsi="Times New Roman" w:cs="Times New Roman"/>
          <w:sz w:val="24"/>
          <w:szCs w:val="20"/>
        </w:rPr>
        <w:t>.</w:t>
      </w:r>
      <w:r w:rsidR="00FE231B">
        <w:rPr>
          <w:rFonts w:ascii="Times New Roman" w:hAnsi="Times New Roman" w:cs="Times New Roman"/>
          <w:sz w:val="24"/>
          <w:szCs w:val="20"/>
        </w:rPr>
        <w:t xml:space="preserve"> </w:t>
      </w:r>
    </w:p>
    <w:p w14:paraId="24D82322" w14:textId="790D14A3" w:rsidR="00FE231B" w:rsidRPr="00DD4169" w:rsidRDefault="00FE231B" w:rsidP="00FE231B">
      <w:pPr>
        <w:numPr>
          <w:ilvl w:val="0"/>
          <w:numId w:val="1"/>
        </w:numPr>
        <w:spacing w:after="0" w:line="360" w:lineRule="auto"/>
        <w:contextualSpacing/>
        <w:jc w:val="center"/>
        <w:rPr>
          <w:rFonts w:ascii="Times New Roman" w:eastAsia="Times New Roman" w:hAnsi="Times New Roman" w:cs="Times New Roman"/>
          <w:b/>
          <w:sz w:val="24"/>
          <w:szCs w:val="20"/>
        </w:rPr>
      </w:pPr>
      <w:r>
        <w:rPr>
          <w:rFonts w:ascii="Times New Roman" w:eastAsia="Times New Roman" w:hAnsi="Times New Roman" w:cs="Times New Roman"/>
          <w:b/>
          <w:sz w:val="24"/>
          <w:szCs w:val="20"/>
        </w:rPr>
        <w:t>CONCLUSION</w:t>
      </w:r>
    </w:p>
    <w:p w14:paraId="7B09C985" w14:textId="336DF09C" w:rsidR="00FE231B" w:rsidRPr="00264B25" w:rsidRDefault="00FE231B" w:rsidP="00FE231B">
      <w:pPr>
        <w:spacing w:after="0" w:line="360" w:lineRule="auto"/>
        <w:ind w:firstLine="36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For the reasons detailed</w:t>
      </w:r>
      <w:r w:rsidR="0024214C">
        <w:rPr>
          <w:rFonts w:ascii="Times New Roman" w:eastAsia="Times New Roman" w:hAnsi="Times New Roman" w:cs="Times New Roman"/>
          <w:bCs/>
          <w:sz w:val="24"/>
          <w:szCs w:val="24"/>
        </w:rPr>
        <w:t xml:space="preserve"> above</w:t>
      </w:r>
      <w:r>
        <w:rPr>
          <w:rFonts w:ascii="Times New Roman" w:eastAsia="Times New Roman" w:hAnsi="Times New Roman" w:cs="Times New Roman"/>
          <w:bCs/>
          <w:sz w:val="24"/>
          <w:szCs w:val="24"/>
        </w:rPr>
        <w:t xml:space="preserve">, Staff respectfully requests </w:t>
      </w:r>
      <w:r w:rsidR="00AD51EE">
        <w:rPr>
          <w:rFonts w:ascii="Times New Roman" w:eastAsia="Times New Roman" w:hAnsi="Times New Roman" w:cs="Times New Roman"/>
          <w:bCs/>
          <w:sz w:val="24"/>
          <w:szCs w:val="24"/>
        </w:rPr>
        <w:t xml:space="preserve">that this proceeding be abated pending </w:t>
      </w:r>
      <w:r w:rsidR="0024214C">
        <w:rPr>
          <w:rFonts w:ascii="Times New Roman" w:eastAsia="Times New Roman" w:hAnsi="Times New Roman" w:cs="Times New Roman"/>
          <w:bCs/>
          <w:sz w:val="24"/>
          <w:szCs w:val="24"/>
        </w:rPr>
        <w:t>the 5</w:t>
      </w:r>
      <w:r w:rsidR="0024214C" w:rsidRPr="00AE307A">
        <w:rPr>
          <w:rFonts w:ascii="Times New Roman" w:eastAsia="Times New Roman" w:hAnsi="Times New Roman" w:cs="Times New Roman"/>
          <w:bCs/>
          <w:sz w:val="24"/>
          <w:szCs w:val="24"/>
          <w:vertAlign w:val="superscript"/>
        </w:rPr>
        <w:t>th</w:t>
      </w:r>
      <w:r w:rsidR="0024214C">
        <w:rPr>
          <w:rFonts w:ascii="Times New Roman" w:eastAsia="Times New Roman" w:hAnsi="Times New Roman" w:cs="Times New Roman"/>
          <w:bCs/>
          <w:sz w:val="24"/>
          <w:szCs w:val="24"/>
        </w:rPr>
        <w:t xml:space="preserve"> Circuit’s</w:t>
      </w:r>
      <w:r w:rsidR="00AD51EE">
        <w:rPr>
          <w:rFonts w:ascii="Times New Roman" w:eastAsia="Times New Roman" w:hAnsi="Times New Roman" w:cs="Times New Roman"/>
          <w:bCs/>
          <w:sz w:val="24"/>
          <w:szCs w:val="24"/>
        </w:rPr>
        <w:t xml:space="preserve"> decision in </w:t>
      </w:r>
      <w:r w:rsidR="00AD51EE" w:rsidRPr="00B46250">
        <w:rPr>
          <w:rFonts w:ascii="Times New Roman" w:hAnsi="Times New Roman" w:cs="Times New Roman"/>
          <w:i/>
          <w:iCs/>
          <w:sz w:val="24"/>
          <w:szCs w:val="20"/>
        </w:rPr>
        <w:t>Crystal Clear Special Utility District v. Walker</w:t>
      </w:r>
      <w:r w:rsidR="00AD51EE">
        <w:rPr>
          <w:rFonts w:ascii="Times New Roman" w:hAnsi="Times New Roman" w:cs="Times New Roman"/>
          <w:i/>
          <w:iCs/>
          <w:sz w:val="24"/>
          <w:szCs w:val="20"/>
        </w:rPr>
        <w:t>.</w:t>
      </w:r>
    </w:p>
    <w:p w14:paraId="69B796D6" w14:textId="77777777" w:rsidR="00B54EAF" w:rsidRPr="00264B25" w:rsidRDefault="00B54EAF" w:rsidP="00264B25">
      <w:pPr>
        <w:spacing w:after="0" w:line="360" w:lineRule="auto"/>
        <w:jc w:val="both"/>
        <w:rPr>
          <w:rFonts w:ascii="Times New Roman" w:eastAsia="Times New Roman" w:hAnsi="Times New Roman" w:cs="Times New Roman"/>
          <w:bCs/>
          <w:sz w:val="24"/>
          <w:szCs w:val="24"/>
        </w:rPr>
      </w:pPr>
    </w:p>
    <w:p w14:paraId="0976B0F2" w14:textId="77777777" w:rsidR="00D759D4" w:rsidRDefault="00D759D4" w:rsidP="00264B25">
      <w:pPr>
        <w:spacing w:after="0" w:line="360" w:lineRule="auto"/>
        <w:jc w:val="both"/>
        <w:rPr>
          <w:rFonts w:ascii="Times New Roman" w:eastAsia="Times New Roman" w:hAnsi="Times New Roman" w:cs="Times New Roman"/>
          <w:bCs/>
          <w:sz w:val="24"/>
          <w:szCs w:val="24"/>
        </w:rPr>
      </w:pPr>
    </w:p>
    <w:p w14:paraId="0F9CC330" w14:textId="49AC1CEE" w:rsidR="00264B25" w:rsidRPr="00264B25" w:rsidRDefault="00264B25" w:rsidP="00264B25">
      <w:pPr>
        <w:spacing w:after="0" w:line="360" w:lineRule="auto"/>
        <w:jc w:val="both"/>
        <w:rPr>
          <w:rFonts w:ascii="Times New Roman" w:eastAsia="Times New Roman" w:hAnsi="Times New Roman" w:cs="Times New Roman"/>
          <w:bCs/>
          <w:sz w:val="24"/>
          <w:szCs w:val="24"/>
        </w:rPr>
      </w:pPr>
      <w:r w:rsidRPr="00264B25">
        <w:rPr>
          <w:rFonts w:ascii="Times New Roman" w:eastAsia="Times New Roman" w:hAnsi="Times New Roman" w:cs="Times New Roman"/>
          <w:bCs/>
          <w:sz w:val="24"/>
          <w:szCs w:val="24"/>
        </w:rPr>
        <w:lastRenderedPageBreak/>
        <w:t xml:space="preserve">Dated: </w:t>
      </w:r>
      <w:r w:rsidRPr="00264B25">
        <w:rPr>
          <w:rFonts w:ascii="Times New Roman" w:eastAsia="Times New Roman" w:hAnsi="Times New Roman" w:cs="Times New Roman"/>
          <w:bCs/>
          <w:sz w:val="24"/>
          <w:szCs w:val="24"/>
        </w:rPr>
        <w:fldChar w:fldCharType="begin"/>
      </w:r>
      <w:r w:rsidRPr="00264B25">
        <w:rPr>
          <w:rFonts w:ascii="Times New Roman" w:eastAsia="Times New Roman" w:hAnsi="Times New Roman" w:cs="Times New Roman"/>
          <w:bCs/>
          <w:sz w:val="24"/>
          <w:szCs w:val="24"/>
        </w:rPr>
        <w:instrText xml:space="preserve"> DATE \@ "MMMM d, yyyy" </w:instrText>
      </w:r>
      <w:r w:rsidRPr="00264B25">
        <w:rPr>
          <w:rFonts w:ascii="Times New Roman" w:eastAsia="Times New Roman" w:hAnsi="Times New Roman" w:cs="Times New Roman"/>
          <w:bCs/>
          <w:sz w:val="24"/>
          <w:szCs w:val="24"/>
        </w:rPr>
        <w:fldChar w:fldCharType="separate"/>
      </w:r>
      <w:r w:rsidR="009B1BD1">
        <w:rPr>
          <w:rFonts w:ascii="Times New Roman" w:eastAsia="Times New Roman" w:hAnsi="Times New Roman" w:cs="Times New Roman"/>
          <w:bCs/>
          <w:noProof/>
          <w:sz w:val="24"/>
          <w:szCs w:val="24"/>
        </w:rPr>
        <w:t>March 26, 2020</w:t>
      </w:r>
      <w:r w:rsidRPr="00264B25">
        <w:rPr>
          <w:rFonts w:ascii="Times New Roman" w:eastAsia="Times New Roman" w:hAnsi="Times New Roman" w:cs="Times New Roman"/>
          <w:bCs/>
          <w:sz w:val="24"/>
          <w:szCs w:val="24"/>
        </w:rPr>
        <w:fldChar w:fldCharType="end"/>
      </w:r>
    </w:p>
    <w:p w14:paraId="0BF8C6EE" w14:textId="77777777" w:rsidR="00264B25" w:rsidRPr="00264B25" w:rsidRDefault="00264B25" w:rsidP="00264B25">
      <w:pPr>
        <w:spacing w:after="0" w:line="360" w:lineRule="auto"/>
        <w:jc w:val="both"/>
        <w:rPr>
          <w:rFonts w:ascii="Times New Roman" w:eastAsia="Times New Roman" w:hAnsi="Times New Roman" w:cs="Times New Roman"/>
          <w:bCs/>
          <w:sz w:val="24"/>
          <w:szCs w:val="24"/>
        </w:rPr>
      </w:pPr>
    </w:p>
    <w:p w14:paraId="61F45EAB" w14:textId="77777777" w:rsidR="00264B25" w:rsidRPr="00264B25" w:rsidRDefault="00264B25" w:rsidP="00264B25">
      <w:pPr>
        <w:spacing w:after="0" w:line="480" w:lineRule="auto"/>
        <w:ind w:left="3600" w:firstLine="720"/>
        <w:jc w:val="both"/>
        <w:rPr>
          <w:rFonts w:ascii="Times New Roman" w:eastAsia="Times New Roman" w:hAnsi="Times New Roman" w:cs="Times New Roman"/>
          <w:sz w:val="24"/>
          <w:szCs w:val="24"/>
        </w:rPr>
      </w:pPr>
      <w:r w:rsidRPr="00264B25">
        <w:rPr>
          <w:rFonts w:ascii="Times New Roman" w:eastAsia="Times New Roman" w:hAnsi="Times New Roman" w:cs="Times New Roman"/>
          <w:sz w:val="24"/>
          <w:szCs w:val="24"/>
        </w:rPr>
        <w:t>Respectfully submitted,</w:t>
      </w:r>
    </w:p>
    <w:p w14:paraId="76E0A786" w14:textId="77777777" w:rsidR="00264B25" w:rsidRPr="00264B25" w:rsidRDefault="00264B25" w:rsidP="00264B25">
      <w:pPr>
        <w:spacing w:after="0" w:line="240" w:lineRule="auto"/>
        <w:ind w:left="4320"/>
        <w:contextualSpacing/>
        <w:jc w:val="both"/>
        <w:rPr>
          <w:rFonts w:ascii="Times New Roman" w:eastAsia="Times New Roman" w:hAnsi="Times New Roman" w:cs="Times New Roman"/>
          <w:b/>
          <w:sz w:val="24"/>
          <w:szCs w:val="24"/>
        </w:rPr>
      </w:pPr>
      <w:r w:rsidRPr="00264B25">
        <w:rPr>
          <w:rFonts w:ascii="Times New Roman" w:eastAsia="Times New Roman" w:hAnsi="Times New Roman" w:cs="Times New Roman"/>
          <w:b/>
          <w:sz w:val="24"/>
          <w:szCs w:val="24"/>
        </w:rPr>
        <w:t xml:space="preserve">PUBLIC UTILITY COMMISSION OF TEXAS </w:t>
      </w:r>
    </w:p>
    <w:p w14:paraId="2387C4FB" w14:textId="77777777" w:rsidR="00264B25" w:rsidRPr="00264B25" w:rsidRDefault="00264B25" w:rsidP="00264B25">
      <w:pPr>
        <w:spacing w:after="0" w:line="240" w:lineRule="auto"/>
        <w:ind w:left="4320"/>
        <w:contextualSpacing/>
        <w:jc w:val="both"/>
        <w:rPr>
          <w:rFonts w:ascii="Times New Roman" w:eastAsia="Times New Roman" w:hAnsi="Times New Roman" w:cs="Times New Roman"/>
          <w:b/>
          <w:sz w:val="24"/>
          <w:szCs w:val="24"/>
        </w:rPr>
      </w:pPr>
      <w:r w:rsidRPr="00264B25">
        <w:rPr>
          <w:rFonts w:ascii="Times New Roman" w:eastAsia="Times New Roman" w:hAnsi="Times New Roman" w:cs="Times New Roman"/>
          <w:b/>
          <w:sz w:val="24"/>
          <w:szCs w:val="24"/>
        </w:rPr>
        <w:t>LEGAL DIVISION</w:t>
      </w:r>
    </w:p>
    <w:p w14:paraId="2A9C8A0E" w14:textId="77777777" w:rsidR="00264B25" w:rsidRPr="00264B25" w:rsidRDefault="00264B25" w:rsidP="00264B25">
      <w:pPr>
        <w:spacing w:after="0" w:line="240" w:lineRule="auto"/>
        <w:jc w:val="both"/>
        <w:rPr>
          <w:rFonts w:ascii="Times New Roman" w:eastAsia="Times New Roman" w:hAnsi="Times New Roman" w:cs="Times New Roman"/>
          <w:sz w:val="24"/>
          <w:szCs w:val="20"/>
        </w:rPr>
      </w:pPr>
    </w:p>
    <w:p w14:paraId="52690FC1" w14:textId="77777777" w:rsidR="00264B25" w:rsidRPr="00264B25" w:rsidRDefault="00264B25" w:rsidP="00264B25">
      <w:pPr>
        <w:spacing w:after="0" w:line="240" w:lineRule="auto"/>
        <w:jc w:val="both"/>
        <w:rPr>
          <w:rFonts w:ascii="Times New Roman" w:eastAsia="Times New Roman" w:hAnsi="Times New Roman" w:cs="Times New Roman"/>
          <w:sz w:val="24"/>
          <w:szCs w:val="20"/>
        </w:rPr>
      </w:pPr>
      <w:r w:rsidRPr="00264B25">
        <w:rPr>
          <w:rFonts w:ascii="Times New Roman" w:eastAsia="Times New Roman" w:hAnsi="Times New Roman" w:cs="Times New Roman"/>
          <w:sz w:val="24"/>
          <w:szCs w:val="20"/>
        </w:rPr>
        <w:tab/>
      </w:r>
      <w:r w:rsidRPr="00264B25">
        <w:rPr>
          <w:rFonts w:ascii="Times New Roman" w:eastAsia="Times New Roman" w:hAnsi="Times New Roman" w:cs="Times New Roman"/>
          <w:sz w:val="24"/>
          <w:szCs w:val="20"/>
        </w:rPr>
        <w:tab/>
      </w:r>
      <w:r w:rsidRPr="00264B25">
        <w:rPr>
          <w:rFonts w:ascii="Times New Roman" w:eastAsia="Times New Roman" w:hAnsi="Times New Roman" w:cs="Times New Roman"/>
          <w:sz w:val="24"/>
          <w:szCs w:val="20"/>
        </w:rPr>
        <w:tab/>
      </w:r>
      <w:r w:rsidRPr="00264B25">
        <w:rPr>
          <w:rFonts w:ascii="Times New Roman" w:eastAsia="Times New Roman" w:hAnsi="Times New Roman" w:cs="Times New Roman"/>
          <w:sz w:val="24"/>
          <w:szCs w:val="20"/>
        </w:rPr>
        <w:tab/>
      </w:r>
      <w:r w:rsidRPr="00264B25">
        <w:rPr>
          <w:rFonts w:ascii="Times New Roman" w:eastAsia="Times New Roman" w:hAnsi="Times New Roman" w:cs="Times New Roman"/>
          <w:sz w:val="24"/>
          <w:szCs w:val="20"/>
        </w:rPr>
        <w:tab/>
      </w:r>
      <w:r w:rsidRPr="00264B25">
        <w:rPr>
          <w:rFonts w:ascii="Times New Roman" w:eastAsia="Times New Roman" w:hAnsi="Times New Roman" w:cs="Times New Roman"/>
          <w:sz w:val="24"/>
          <w:szCs w:val="20"/>
        </w:rPr>
        <w:tab/>
        <w:t>Rachelle Nicolette Robles</w:t>
      </w:r>
    </w:p>
    <w:p w14:paraId="238E42B2" w14:textId="77777777" w:rsidR="00264B25" w:rsidRPr="00264B25" w:rsidRDefault="00264B25" w:rsidP="00264B25">
      <w:pPr>
        <w:spacing w:after="0" w:line="240" w:lineRule="auto"/>
        <w:jc w:val="both"/>
        <w:rPr>
          <w:rFonts w:ascii="Times New Roman" w:eastAsia="Times New Roman" w:hAnsi="Times New Roman" w:cs="Times New Roman"/>
          <w:sz w:val="24"/>
          <w:szCs w:val="20"/>
        </w:rPr>
      </w:pPr>
      <w:r w:rsidRPr="00264B25">
        <w:rPr>
          <w:rFonts w:ascii="Times New Roman" w:eastAsia="Times New Roman" w:hAnsi="Times New Roman" w:cs="Times New Roman"/>
          <w:sz w:val="24"/>
          <w:szCs w:val="20"/>
        </w:rPr>
        <w:tab/>
      </w:r>
      <w:r w:rsidRPr="00264B25">
        <w:rPr>
          <w:rFonts w:ascii="Times New Roman" w:eastAsia="Times New Roman" w:hAnsi="Times New Roman" w:cs="Times New Roman"/>
          <w:sz w:val="24"/>
          <w:szCs w:val="20"/>
        </w:rPr>
        <w:tab/>
      </w:r>
      <w:r w:rsidRPr="00264B25">
        <w:rPr>
          <w:rFonts w:ascii="Times New Roman" w:eastAsia="Times New Roman" w:hAnsi="Times New Roman" w:cs="Times New Roman"/>
          <w:sz w:val="24"/>
          <w:szCs w:val="20"/>
        </w:rPr>
        <w:tab/>
      </w:r>
      <w:r w:rsidRPr="00264B25">
        <w:rPr>
          <w:rFonts w:ascii="Times New Roman" w:eastAsia="Times New Roman" w:hAnsi="Times New Roman" w:cs="Times New Roman"/>
          <w:sz w:val="24"/>
          <w:szCs w:val="20"/>
        </w:rPr>
        <w:tab/>
      </w:r>
      <w:r w:rsidRPr="00264B25">
        <w:rPr>
          <w:rFonts w:ascii="Times New Roman" w:eastAsia="Times New Roman" w:hAnsi="Times New Roman" w:cs="Times New Roman"/>
          <w:sz w:val="24"/>
          <w:szCs w:val="20"/>
        </w:rPr>
        <w:tab/>
      </w:r>
      <w:r w:rsidRPr="00264B25">
        <w:rPr>
          <w:rFonts w:ascii="Times New Roman" w:eastAsia="Times New Roman" w:hAnsi="Times New Roman" w:cs="Times New Roman"/>
          <w:sz w:val="24"/>
          <w:szCs w:val="20"/>
        </w:rPr>
        <w:tab/>
        <w:t xml:space="preserve">Division Director </w:t>
      </w:r>
    </w:p>
    <w:p w14:paraId="23A16981" w14:textId="77777777" w:rsidR="00264B25" w:rsidRPr="00264B25" w:rsidRDefault="00264B25" w:rsidP="00264B25">
      <w:pPr>
        <w:spacing w:after="0" w:line="240" w:lineRule="auto"/>
        <w:jc w:val="both"/>
        <w:rPr>
          <w:rFonts w:ascii="Times New Roman" w:eastAsia="Times New Roman" w:hAnsi="Times New Roman" w:cs="Times New Roman"/>
          <w:sz w:val="24"/>
          <w:szCs w:val="20"/>
        </w:rPr>
      </w:pPr>
    </w:p>
    <w:p w14:paraId="02592E3E" w14:textId="77777777" w:rsidR="00264B25" w:rsidRPr="00264B25" w:rsidRDefault="00264B25" w:rsidP="00264B25">
      <w:pPr>
        <w:keepNext/>
        <w:spacing w:after="0" w:line="240" w:lineRule="auto"/>
        <w:ind w:left="4320"/>
        <w:jc w:val="both"/>
        <w:rPr>
          <w:rFonts w:ascii="Times New Roman" w:eastAsia="Times New Roman" w:hAnsi="Times New Roman" w:cs="Times New Roman"/>
          <w:sz w:val="24"/>
          <w:szCs w:val="24"/>
        </w:rPr>
      </w:pPr>
      <w:bookmarkStart w:id="10" w:name="_Hlk23239586"/>
      <w:r w:rsidRPr="00264B25">
        <w:rPr>
          <w:rFonts w:ascii="Times New Roman" w:eastAsia="Times New Roman" w:hAnsi="Times New Roman" w:cs="Times New Roman"/>
          <w:sz w:val="24"/>
          <w:szCs w:val="24"/>
        </w:rPr>
        <w:t>Heath D. Armstrong</w:t>
      </w:r>
      <w:bookmarkEnd w:id="10"/>
      <w:r w:rsidRPr="00264B25">
        <w:rPr>
          <w:rFonts w:ascii="Times New Roman" w:eastAsia="Times New Roman" w:hAnsi="Times New Roman" w:cs="Times New Roman"/>
          <w:sz w:val="24"/>
          <w:szCs w:val="24"/>
        </w:rPr>
        <w:t xml:space="preserve"> </w:t>
      </w:r>
    </w:p>
    <w:p w14:paraId="324FB2BA" w14:textId="77777777" w:rsidR="00264B25" w:rsidRPr="00264B25" w:rsidRDefault="00264B25" w:rsidP="00264B25">
      <w:pPr>
        <w:keepNext/>
        <w:spacing w:after="0" w:line="240" w:lineRule="auto"/>
        <w:ind w:left="4320"/>
        <w:jc w:val="both"/>
        <w:rPr>
          <w:rFonts w:ascii="Times New Roman" w:eastAsia="Times New Roman" w:hAnsi="Times New Roman" w:cs="Times New Roman"/>
          <w:sz w:val="24"/>
          <w:szCs w:val="24"/>
        </w:rPr>
      </w:pPr>
      <w:r w:rsidRPr="00264B25">
        <w:rPr>
          <w:rFonts w:ascii="Times New Roman" w:eastAsia="Times New Roman" w:hAnsi="Times New Roman" w:cs="Times New Roman"/>
          <w:sz w:val="24"/>
          <w:szCs w:val="24"/>
        </w:rPr>
        <w:t>Managing Attorney</w:t>
      </w:r>
    </w:p>
    <w:p w14:paraId="368857E0" w14:textId="77777777" w:rsidR="00264B25" w:rsidRPr="00264B25" w:rsidRDefault="00264B25" w:rsidP="00264B25">
      <w:pPr>
        <w:spacing w:after="0" w:line="240" w:lineRule="auto"/>
        <w:rPr>
          <w:rFonts w:ascii="Times New Roman" w:eastAsia="Times New Roman" w:hAnsi="Times New Roman" w:cs="Times New Roman"/>
          <w:sz w:val="24"/>
          <w:szCs w:val="24"/>
        </w:rPr>
      </w:pPr>
    </w:p>
    <w:p w14:paraId="279FEFBD" w14:textId="77777777" w:rsidR="00264B25" w:rsidRPr="00264B25" w:rsidRDefault="00264B25" w:rsidP="00264B25">
      <w:pPr>
        <w:spacing w:after="0" w:line="240" w:lineRule="auto"/>
        <w:jc w:val="both"/>
        <w:rPr>
          <w:rFonts w:ascii="Times New Roman" w:eastAsia="Times New Roman" w:hAnsi="Times New Roman" w:cs="Times New Roman"/>
          <w:sz w:val="24"/>
          <w:szCs w:val="20"/>
        </w:rPr>
      </w:pPr>
    </w:p>
    <w:p w14:paraId="3DBCE473" w14:textId="05E7CB63" w:rsidR="00264B25" w:rsidRPr="000D507E" w:rsidRDefault="00264B25" w:rsidP="00264B25">
      <w:pPr>
        <w:spacing w:after="0" w:line="240" w:lineRule="auto"/>
        <w:jc w:val="both"/>
        <w:rPr>
          <w:rFonts w:ascii="Times New Roman" w:eastAsia="Times New Roman" w:hAnsi="Times New Roman" w:cs="Times New Roman"/>
          <w:sz w:val="24"/>
          <w:szCs w:val="20"/>
          <w:u w:val="single"/>
        </w:rPr>
      </w:pPr>
      <w:r w:rsidRPr="00264B25">
        <w:rPr>
          <w:rFonts w:ascii="Times New Roman" w:eastAsia="Times New Roman" w:hAnsi="Times New Roman" w:cs="Times New Roman"/>
          <w:sz w:val="24"/>
          <w:szCs w:val="20"/>
        </w:rPr>
        <w:tab/>
      </w:r>
      <w:r w:rsidRPr="00264B25">
        <w:rPr>
          <w:rFonts w:ascii="Times New Roman" w:eastAsia="Times New Roman" w:hAnsi="Times New Roman" w:cs="Times New Roman"/>
          <w:sz w:val="24"/>
          <w:szCs w:val="20"/>
        </w:rPr>
        <w:tab/>
      </w:r>
      <w:r w:rsidRPr="00264B25">
        <w:rPr>
          <w:rFonts w:ascii="Times New Roman" w:eastAsia="Times New Roman" w:hAnsi="Times New Roman" w:cs="Times New Roman"/>
          <w:sz w:val="24"/>
          <w:szCs w:val="20"/>
        </w:rPr>
        <w:tab/>
      </w:r>
      <w:r w:rsidRPr="00264B25">
        <w:rPr>
          <w:rFonts w:ascii="Times New Roman" w:eastAsia="Times New Roman" w:hAnsi="Times New Roman" w:cs="Times New Roman"/>
          <w:sz w:val="24"/>
          <w:szCs w:val="20"/>
        </w:rPr>
        <w:tab/>
      </w:r>
      <w:r w:rsidRPr="00264B25">
        <w:rPr>
          <w:rFonts w:ascii="Times New Roman" w:eastAsia="Times New Roman" w:hAnsi="Times New Roman" w:cs="Times New Roman"/>
          <w:sz w:val="24"/>
          <w:szCs w:val="20"/>
        </w:rPr>
        <w:tab/>
      </w:r>
      <w:r w:rsidRPr="00264B25">
        <w:rPr>
          <w:rFonts w:ascii="Times New Roman" w:eastAsia="Times New Roman" w:hAnsi="Times New Roman" w:cs="Times New Roman"/>
          <w:sz w:val="24"/>
          <w:szCs w:val="20"/>
        </w:rPr>
        <w:tab/>
      </w:r>
      <w:r w:rsidR="000D507E">
        <w:rPr>
          <w:rFonts w:ascii="Times New Roman" w:eastAsia="Times New Roman" w:hAnsi="Times New Roman" w:cs="Times New Roman"/>
          <w:sz w:val="24"/>
          <w:szCs w:val="20"/>
          <w:u w:val="single"/>
        </w:rPr>
        <w:t>/s/ Robert Dakota Parish__</w:t>
      </w:r>
    </w:p>
    <w:p w14:paraId="1294F1DD" w14:textId="77777777" w:rsidR="00264B25" w:rsidRPr="00264B25" w:rsidRDefault="00264B25" w:rsidP="00264B25">
      <w:pPr>
        <w:spacing w:after="0" w:line="240" w:lineRule="auto"/>
        <w:jc w:val="both"/>
        <w:rPr>
          <w:rFonts w:ascii="Times New Roman" w:eastAsia="Times New Roman" w:hAnsi="Times New Roman" w:cs="Times New Roman"/>
          <w:sz w:val="24"/>
          <w:szCs w:val="20"/>
        </w:rPr>
      </w:pPr>
      <w:r w:rsidRPr="00264B25">
        <w:rPr>
          <w:rFonts w:ascii="Times New Roman" w:eastAsia="Times New Roman" w:hAnsi="Times New Roman" w:cs="Times New Roman"/>
          <w:sz w:val="24"/>
          <w:szCs w:val="20"/>
        </w:rPr>
        <w:tab/>
      </w:r>
      <w:r w:rsidRPr="00264B25">
        <w:rPr>
          <w:rFonts w:ascii="Times New Roman" w:eastAsia="Times New Roman" w:hAnsi="Times New Roman" w:cs="Times New Roman"/>
          <w:sz w:val="24"/>
          <w:szCs w:val="20"/>
        </w:rPr>
        <w:tab/>
      </w:r>
      <w:r w:rsidRPr="00264B25">
        <w:rPr>
          <w:rFonts w:ascii="Times New Roman" w:eastAsia="Times New Roman" w:hAnsi="Times New Roman" w:cs="Times New Roman"/>
          <w:sz w:val="24"/>
          <w:szCs w:val="20"/>
        </w:rPr>
        <w:tab/>
      </w:r>
      <w:r w:rsidRPr="00264B25">
        <w:rPr>
          <w:rFonts w:ascii="Times New Roman" w:eastAsia="Times New Roman" w:hAnsi="Times New Roman" w:cs="Times New Roman"/>
          <w:sz w:val="24"/>
          <w:szCs w:val="20"/>
        </w:rPr>
        <w:tab/>
      </w:r>
      <w:r w:rsidRPr="00264B25">
        <w:rPr>
          <w:rFonts w:ascii="Times New Roman" w:eastAsia="Times New Roman" w:hAnsi="Times New Roman" w:cs="Times New Roman"/>
          <w:sz w:val="24"/>
          <w:szCs w:val="20"/>
        </w:rPr>
        <w:tab/>
      </w:r>
      <w:r w:rsidRPr="00264B25">
        <w:rPr>
          <w:rFonts w:ascii="Times New Roman" w:eastAsia="Times New Roman" w:hAnsi="Times New Roman" w:cs="Times New Roman"/>
          <w:sz w:val="24"/>
          <w:szCs w:val="20"/>
        </w:rPr>
        <w:tab/>
        <w:t>Robert Dakota Parish</w:t>
      </w:r>
    </w:p>
    <w:p w14:paraId="770F55D7" w14:textId="77777777" w:rsidR="00264B25" w:rsidRPr="00264B25" w:rsidRDefault="00264B25" w:rsidP="00264B25">
      <w:pPr>
        <w:spacing w:after="0" w:line="240" w:lineRule="auto"/>
        <w:jc w:val="both"/>
        <w:rPr>
          <w:rFonts w:ascii="Times New Roman" w:eastAsia="Times New Roman" w:hAnsi="Times New Roman" w:cs="Times New Roman"/>
          <w:sz w:val="24"/>
          <w:szCs w:val="20"/>
        </w:rPr>
      </w:pPr>
      <w:r w:rsidRPr="00264B25">
        <w:rPr>
          <w:rFonts w:ascii="Times New Roman" w:eastAsia="Times New Roman" w:hAnsi="Times New Roman" w:cs="Times New Roman"/>
          <w:sz w:val="24"/>
          <w:szCs w:val="20"/>
        </w:rPr>
        <w:tab/>
      </w:r>
      <w:r w:rsidRPr="00264B25">
        <w:rPr>
          <w:rFonts w:ascii="Times New Roman" w:eastAsia="Times New Roman" w:hAnsi="Times New Roman" w:cs="Times New Roman"/>
          <w:sz w:val="24"/>
          <w:szCs w:val="20"/>
        </w:rPr>
        <w:tab/>
      </w:r>
      <w:r w:rsidRPr="00264B25">
        <w:rPr>
          <w:rFonts w:ascii="Times New Roman" w:eastAsia="Times New Roman" w:hAnsi="Times New Roman" w:cs="Times New Roman"/>
          <w:sz w:val="24"/>
          <w:szCs w:val="20"/>
        </w:rPr>
        <w:tab/>
      </w:r>
      <w:r w:rsidRPr="00264B25">
        <w:rPr>
          <w:rFonts w:ascii="Times New Roman" w:eastAsia="Times New Roman" w:hAnsi="Times New Roman" w:cs="Times New Roman"/>
          <w:sz w:val="24"/>
          <w:szCs w:val="20"/>
        </w:rPr>
        <w:tab/>
      </w:r>
      <w:r w:rsidRPr="00264B25">
        <w:rPr>
          <w:rFonts w:ascii="Times New Roman" w:eastAsia="Times New Roman" w:hAnsi="Times New Roman" w:cs="Times New Roman"/>
          <w:sz w:val="24"/>
          <w:szCs w:val="20"/>
        </w:rPr>
        <w:tab/>
      </w:r>
      <w:r w:rsidRPr="00264B25">
        <w:rPr>
          <w:rFonts w:ascii="Times New Roman" w:eastAsia="Times New Roman" w:hAnsi="Times New Roman" w:cs="Times New Roman"/>
          <w:sz w:val="24"/>
          <w:szCs w:val="20"/>
        </w:rPr>
        <w:tab/>
        <w:t>State Bar No. 24116875</w:t>
      </w:r>
    </w:p>
    <w:p w14:paraId="225D1FE7" w14:textId="77777777" w:rsidR="00264B25" w:rsidRPr="00264B25" w:rsidRDefault="00264B25" w:rsidP="00264B25">
      <w:pPr>
        <w:spacing w:after="0" w:line="240" w:lineRule="auto"/>
        <w:jc w:val="both"/>
        <w:rPr>
          <w:rFonts w:ascii="Times New Roman" w:eastAsia="Times New Roman" w:hAnsi="Times New Roman" w:cs="Times New Roman"/>
          <w:sz w:val="24"/>
          <w:szCs w:val="20"/>
        </w:rPr>
      </w:pPr>
      <w:r w:rsidRPr="00264B25">
        <w:rPr>
          <w:rFonts w:ascii="Times New Roman" w:eastAsia="Times New Roman" w:hAnsi="Times New Roman" w:cs="Times New Roman"/>
          <w:sz w:val="24"/>
          <w:szCs w:val="20"/>
        </w:rPr>
        <w:tab/>
      </w:r>
      <w:r w:rsidRPr="00264B25">
        <w:rPr>
          <w:rFonts w:ascii="Times New Roman" w:eastAsia="Times New Roman" w:hAnsi="Times New Roman" w:cs="Times New Roman"/>
          <w:sz w:val="24"/>
          <w:szCs w:val="20"/>
        </w:rPr>
        <w:tab/>
      </w:r>
      <w:r w:rsidRPr="00264B25">
        <w:rPr>
          <w:rFonts w:ascii="Times New Roman" w:eastAsia="Times New Roman" w:hAnsi="Times New Roman" w:cs="Times New Roman"/>
          <w:sz w:val="24"/>
          <w:szCs w:val="20"/>
        </w:rPr>
        <w:tab/>
      </w:r>
      <w:r w:rsidRPr="00264B25">
        <w:rPr>
          <w:rFonts w:ascii="Times New Roman" w:eastAsia="Times New Roman" w:hAnsi="Times New Roman" w:cs="Times New Roman"/>
          <w:sz w:val="24"/>
          <w:szCs w:val="20"/>
        </w:rPr>
        <w:tab/>
      </w:r>
      <w:r w:rsidRPr="00264B25">
        <w:rPr>
          <w:rFonts w:ascii="Times New Roman" w:eastAsia="Times New Roman" w:hAnsi="Times New Roman" w:cs="Times New Roman"/>
          <w:sz w:val="24"/>
          <w:szCs w:val="20"/>
        </w:rPr>
        <w:tab/>
      </w:r>
      <w:r w:rsidRPr="00264B25">
        <w:rPr>
          <w:rFonts w:ascii="Times New Roman" w:eastAsia="Times New Roman" w:hAnsi="Times New Roman" w:cs="Times New Roman"/>
          <w:sz w:val="24"/>
          <w:szCs w:val="20"/>
        </w:rPr>
        <w:tab/>
        <w:t>1701 N. Congress Avenue</w:t>
      </w:r>
    </w:p>
    <w:p w14:paraId="699DB210" w14:textId="77777777" w:rsidR="00264B25" w:rsidRPr="00264B25" w:rsidRDefault="00264B25" w:rsidP="00264B25">
      <w:pPr>
        <w:spacing w:after="0" w:line="240" w:lineRule="auto"/>
        <w:jc w:val="both"/>
        <w:rPr>
          <w:rFonts w:ascii="Times New Roman" w:eastAsia="Times New Roman" w:hAnsi="Times New Roman" w:cs="Times New Roman"/>
          <w:sz w:val="24"/>
          <w:szCs w:val="20"/>
        </w:rPr>
      </w:pPr>
      <w:r w:rsidRPr="00264B25">
        <w:rPr>
          <w:rFonts w:ascii="Times New Roman" w:eastAsia="Times New Roman" w:hAnsi="Times New Roman" w:cs="Times New Roman"/>
          <w:sz w:val="24"/>
          <w:szCs w:val="20"/>
        </w:rPr>
        <w:tab/>
      </w:r>
      <w:r w:rsidRPr="00264B25">
        <w:rPr>
          <w:rFonts w:ascii="Times New Roman" w:eastAsia="Times New Roman" w:hAnsi="Times New Roman" w:cs="Times New Roman"/>
          <w:sz w:val="24"/>
          <w:szCs w:val="20"/>
        </w:rPr>
        <w:tab/>
      </w:r>
      <w:r w:rsidRPr="00264B25">
        <w:rPr>
          <w:rFonts w:ascii="Times New Roman" w:eastAsia="Times New Roman" w:hAnsi="Times New Roman" w:cs="Times New Roman"/>
          <w:sz w:val="24"/>
          <w:szCs w:val="20"/>
        </w:rPr>
        <w:tab/>
      </w:r>
      <w:r w:rsidRPr="00264B25">
        <w:rPr>
          <w:rFonts w:ascii="Times New Roman" w:eastAsia="Times New Roman" w:hAnsi="Times New Roman" w:cs="Times New Roman"/>
          <w:sz w:val="24"/>
          <w:szCs w:val="20"/>
        </w:rPr>
        <w:tab/>
      </w:r>
      <w:r w:rsidRPr="00264B25">
        <w:rPr>
          <w:rFonts w:ascii="Times New Roman" w:eastAsia="Times New Roman" w:hAnsi="Times New Roman" w:cs="Times New Roman"/>
          <w:sz w:val="24"/>
          <w:szCs w:val="20"/>
        </w:rPr>
        <w:tab/>
      </w:r>
      <w:r w:rsidRPr="00264B25">
        <w:rPr>
          <w:rFonts w:ascii="Times New Roman" w:eastAsia="Times New Roman" w:hAnsi="Times New Roman" w:cs="Times New Roman"/>
          <w:sz w:val="24"/>
          <w:szCs w:val="20"/>
        </w:rPr>
        <w:tab/>
        <w:t>P.O. Box 13326</w:t>
      </w:r>
    </w:p>
    <w:p w14:paraId="61C50526" w14:textId="77777777" w:rsidR="00264B25" w:rsidRPr="00264B25" w:rsidRDefault="00264B25" w:rsidP="00264B25">
      <w:pPr>
        <w:spacing w:after="0" w:line="240" w:lineRule="auto"/>
        <w:jc w:val="both"/>
        <w:rPr>
          <w:rFonts w:ascii="Times New Roman" w:eastAsia="Times New Roman" w:hAnsi="Times New Roman" w:cs="Times New Roman"/>
          <w:sz w:val="24"/>
          <w:szCs w:val="20"/>
        </w:rPr>
      </w:pPr>
      <w:r w:rsidRPr="00264B25">
        <w:rPr>
          <w:rFonts w:ascii="Times New Roman" w:eastAsia="Times New Roman" w:hAnsi="Times New Roman" w:cs="Times New Roman"/>
          <w:sz w:val="24"/>
          <w:szCs w:val="20"/>
        </w:rPr>
        <w:tab/>
      </w:r>
      <w:r w:rsidRPr="00264B25">
        <w:rPr>
          <w:rFonts w:ascii="Times New Roman" w:eastAsia="Times New Roman" w:hAnsi="Times New Roman" w:cs="Times New Roman"/>
          <w:sz w:val="24"/>
          <w:szCs w:val="20"/>
        </w:rPr>
        <w:tab/>
      </w:r>
      <w:r w:rsidRPr="00264B25">
        <w:rPr>
          <w:rFonts w:ascii="Times New Roman" w:eastAsia="Times New Roman" w:hAnsi="Times New Roman" w:cs="Times New Roman"/>
          <w:sz w:val="24"/>
          <w:szCs w:val="20"/>
        </w:rPr>
        <w:tab/>
      </w:r>
      <w:r w:rsidRPr="00264B25">
        <w:rPr>
          <w:rFonts w:ascii="Times New Roman" w:eastAsia="Times New Roman" w:hAnsi="Times New Roman" w:cs="Times New Roman"/>
          <w:sz w:val="24"/>
          <w:szCs w:val="20"/>
        </w:rPr>
        <w:tab/>
      </w:r>
      <w:r w:rsidRPr="00264B25">
        <w:rPr>
          <w:rFonts w:ascii="Times New Roman" w:eastAsia="Times New Roman" w:hAnsi="Times New Roman" w:cs="Times New Roman"/>
          <w:sz w:val="24"/>
          <w:szCs w:val="20"/>
        </w:rPr>
        <w:tab/>
      </w:r>
      <w:r w:rsidRPr="00264B25">
        <w:rPr>
          <w:rFonts w:ascii="Times New Roman" w:eastAsia="Times New Roman" w:hAnsi="Times New Roman" w:cs="Times New Roman"/>
          <w:sz w:val="24"/>
          <w:szCs w:val="20"/>
        </w:rPr>
        <w:tab/>
        <w:t>Austin, Texas 78711-3326</w:t>
      </w:r>
    </w:p>
    <w:p w14:paraId="5E636DE0" w14:textId="77777777" w:rsidR="00264B25" w:rsidRPr="00264B25" w:rsidRDefault="00264B25" w:rsidP="00264B25">
      <w:pPr>
        <w:spacing w:after="0" w:line="240" w:lineRule="auto"/>
        <w:jc w:val="both"/>
        <w:rPr>
          <w:rFonts w:ascii="Times New Roman" w:eastAsia="Times New Roman" w:hAnsi="Times New Roman" w:cs="Times New Roman"/>
          <w:sz w:val="24"/>
          <w:szCs w:val="20"/>
        </w:rPr>
      </w:pPr>
      <w:r w:rsidRPr="00264B25">
        <w:rPr>
          <w:rFonts w:ascii="Times New Roman" w:eastAsia="Times New Roman" w:hAnsi="Times New Roman" w:cs="Times New Roman"/>
          <w:sz w:val="24"/>
          <w:szCs w:val="20"/>
        </w:rPr>
        <w:tab/>
      </w:r>
      <w:r w:rsidRPr="00264B25">
        <w:rPr>
          <w:rFonts w:ascii="Times New Roman" w:eastAsia="Times New Roman" w:hAnsi="Times New Roman" w:cs="Times New Roman"/>
          <w:sz w:val="24"/>
          <w:szCs w:val="20"/>
        </w:rPr>
        <w:tab/>
      </w:r>
      <w:r w:rsidRPr="00264B25">
        <w:rPr>
          <w:rFonts w:ascii="Times New Roman" w:eastAsia="Times New Roman" w:hAnsi="Times New Roman" w:cs="Times New Roman"/>
          <w:sz w:val="24"/>
          <w:szCs w:val="20"/>
        </w:rPr>
        <w:tab/>
      </w:r>
      <w:r w:rsidRPr="00264B25">
        <w:rPr>
          <w:rFonts w:ascii="Times New Roman" w:eastAsia="Times New Roman" w:hAnsi="Times New Roman" w:cs="Times New Roman"/>
          <w:sz w:val="24"/>
          <w:szCs w:val="20"/>
        </w:rPr>
        <w:tab/>
      </w:r>
      <w:r w:rsidRPr="00264B25">
        <w:rPr>
          <w:rFonts w:ascii="Times New Roman" w:eastAsia="Times New Roman" w:hAnsi="Times New Roman" w:cs="Times New Roman"/>
          <w:sz w:val="24"/>
          <w:szCs w:val="20"/>
        </w:rPr>
        <w:tab/>
      </w:r>
      <w:r w:rsidRPr="00264B25">
        <w:rPr>
          <w:rFonts w:ascii="Times New Roman" w:eastAsia="Times New Roman" w:hAnsi="Times New Roman" w:cs="Times New Roman"/>
          <w:sz w:val="24"/>
          <w:szCs w:val="20"/>
        </w:rPr>
        <w:tab/>
        <w:t>(512) 936-7442</w:t>
      </w:r>
    </w:p>
    <w:p w14:paraId="277B19DF" w14:textId="77777777" w:rsidR="00264B25" w:rsidRPr="00264B25" w:rsidRDefault="00264B25" w:rsidP="00264B25">
      <w:pPr>
        <w:spacing w:after="0" w:line="240" w:lineRule="auto"/>
        <w:jc w:val="both"/>
        <w:rPr>
          <w:rFonts w:ascii="Times New Roman" w:eastAsia="Times New Roman" w:hAnsi="Times New Roman" w:cs="Times New Roman"/>
          <w:sz w:val="24"/>
          <w:szCs w:val="20"/>
        </w:rPr>
      </w:pPr>
      <w:r w:rsidRPr="00264B25">
        <w:rPr>
          <w:rFonts w:ascii="Times New Roman" w:eastAsia="Times New Roman" w:hAnsi="Times New Roman" w:cs="Times New Roman"/>
          <w:sz w:val="24"/>
          <w:szCs w:val="20"/>
        </w:rPr>
        <w:tab/>
      </w:r>
      <w:r w:rsidRPr="00264B25">
        <w:rPr>
          <w:rFonts w:ascii="Times New Roman" w:eastAsia="Times New Roman" w:hAnsi="Times New Roman" w:cs="Times New Roman"/>
          <w:sz w:val="24"/>
          <w:szCs w:val="20"/>
        </w:rPr>
        <w:tab/>
      </w:r>
      <w:r w:rsidRPr="00264B25">
        <w:rPr>
          <w:rFonts w:ascii="Times New Roman" w:eastAsia="Times New Roman" w:hAnsi="Times New Roman" w:cs="Times New Roman"/>
          <w:sz w:val="24"/>
          <w:szCs w:val="20"/>
        </w:rPr>
        <w:tab/>
      </w:r>
      <w:r w:rsidRPr="00264B25">
        <w:rPr>
          <w:rFonts w:ascii="Times New Roman" w:eastAsia="Times New Roman" w:hAnsi="Times New Roman" w:cs="Times New Roman"/>
          <w:sz w:val="24"/>
          <w:szCs w:val="20"/>
        </w:rPr>
        <w:tab/>
      </w:r>
      <w:r w:rsidRPr="00264B25">
        <w:rPr>
          <w:rFonts w:ascii="Times New Roman" w:eastAsia="Times New Roman" w:hAnsi="Times New Roman" w:cs="Times New Roman"/>
          <w:sz w:val="24"/>
          <w:szCs w:val="20"/>
        </w:rPr>
        <w:tab/>
      </w:r>
      <w:r w:rsidRPr="00264B25">
        <w:rPr>
          <w:rFonts w:ascii="Times New Roman" w:eastAsia="Times New Roman" w:hAnsi="Times New Roman" w:cs="Times New Roman"/>
          <w:sz w:val="24"/>
          <w:szCs w:val="20"/>
        </w:rPr>
        <w:tab/>
        <w:t>(512) 936-7268 (facsimile)</w:t>
      </w:r>
    </w:p>
    <w:p w14:paraId="7D5AD345" w14:textId="39086225" w:rsidR="00264B25" w:rsidRPr="00264B25" w:rsidRDefault="00264B25" w:rsidP="00264B25">
      <w:pPr>
        <w:spacing w:after="0" w:line="240" w:lineRule="auto"/>
        <w:jc w:val="both"/>
        <w:rPr>
          <w:rFonts w:ascii="Times New Roman" w:eastAsia="Times New Roman" w:hAnsi="Times New Roman" w:cs="Times New Roman"/>
          <w:sz w:val="24"/>
          <w:szCs w:val="20"/>
        </w:rPr>
      </w:pPr>
      <w:r w:rsidRPr="00264B25">
        <w:rPr>
          <w:rFonts w:ascii="Times New Roman" w:eastAsia="Times New Roman" w:hAnsi="Times New Roman" w:cs="Times New Roman"/>
          <w:sz w:val="24"/>
          <w:szCs w:val="20"/>
        </w:rPr>
        <w:tab/>
      </w:r>
      <w:r w:rsidRPr="00264B25">
        <w:rPr>
          <w:rFonts w:ascii="Times New Roman" w:eastAsia="Times New Roman" w:hAnsi="Times New Roman" w:cs="Times New Roman"/>
          <w:sz w:val="24"/>
          <w:szCs w:val="20"/>
        </w:rPr>
        <w:tab/>
      </w:r>
      <w:r w:rsidRPr="00264B25">
        <w:rPr>
          <w:rFonts w:ascii="Times New Roman" w:eastAsia="Times New Roman" w:hAnsi="Times New Roman" w:cs="Times New Roman"/>
          <w:sz w:val="24"/>
          <w:szCs w:val="20"/>
        </w:rPr>
        <w:tab/>
      </w:r>
      <w:r w:rsidRPr="00264B25">
        <w:rPr>
          <w:rFonts w:ascii="Times New Roman" w:eastAsia="Times New Roman" w:hAnsi="Times New Roman" w:cs="Times New Roman"/>
          <w:sz w:val="24"/>
          <w:szCs w:val="20"/>
        </w:rPr>
        <w:tab/>
      </w:r>
      <w:r w:rsidRPr="00264B25">
        <w:rPr>
          <w:rFonts w:ascii="Times New Roman" w:eastAsia="Times New Roman" w:hAnsi="Times New Roman" w:cs="Times New Roman"/>
          <w:sz w:val="24"/>
          <w:szCs w:val="20"/>
        </w:rPr>
        <w:tab/>
      </w:r>
      <w:r w:rsidRPr="00264B25">
        <w:rPr>
          <w:rFonts w:ascii="Times New Roman" w:eastAsia="Times New Roman" w:hAnsi="Times New Roman" w:cs="Times New Roman"/>
          <w:sz w:val="24"/>
          <w:szCs w:val="20"/>
        </w:rPr>
        <w:tab/>
        <w:t>Robert.Parish@puc.texas.gov</w:t>
      </w:r>
    </w:p>
    <w:p w14:paraId="2068023E" w14:textId="77777777" w:rsidR="00264B25" w:rsidRPr="00264B25" w:rsidRDefault="00264B25" w:rsidP="00264B25">
      <w:pPr>
        <w:spacing w:after="0" w:line="240" w:lineRule="auto"/>
        <w:jc w:val="both"/>
        <w:rPr>
          <w:rFonts w:ascii="Times New Roman" w:eastAsia="Times New Roman" w:hAnsi="Times New Roman" w:cs="Times New Roman"/>
          <w:b/>
          <w:bCs/>
          <w:caps/>
          <w:sz w:val="24"/>
          <w:szCs w:val="24"/>
        </w:rPr>
      </w:pPr>
    </w:p>
    <w:p w14:paraId="512AC7E2" w14:textId="77777777" w:rsidR="00264B25" w:rsidRPr="00264B25" w:rsidRDefault="00264B25" w:rsidP="00264B25">
      <w:pPr>
        <w:spacing w:after="0" w:line="240" w:lineRule="auto"/>
        <w:rPr>
          <w:rFonts w:ascii="Times New Roman" w:eastAsia="Times New Roman" w:hAnsi="Times New Roman" w:cs="Times New Roman"/>
          <w:b/>
          <w:bCs/>
          <w:caps/>
          <w:sz w:val="24"/>
          <w:szCs w:val="24"/>
        </w:rPr>
      </w:pPr>
    </w:p>
    <w:p w14:paraId="71430E41" w14:textId="77777777" w:rsidR="00264B25" w:rsidRPr="00264B25" w:rsidRDefault="00264B25" w:rsidP="00264B25">
      <w:pPr>
        <w:spacing w:after="0" w:line="240" w:lineRule="auto"/>
        <w:jc w:val="center"/>
        <w:rPr>
          <w:rFonts w:ascii="Times New Roman" w:eastAsia="Times New Roman" w:hAnsi="Times New Roman" w:cs="Times New Roman"/>
          <w:b/>
          <w:bCs/>
          <w:caps/>
          <w:sz w:val="24"/>
          <w:szCs w:val="24"/>
        </w:rPr>
      </w:pPr>
      <w:r w:rsidRPr="00264B25">
        <w:rPr>
          <w:rFonts w:ascii="Times New Roman" w:eastAsia="Times New Roman" w:hAnsi="Times New Roman" w:cs="Times New Roman"/>
          <w:b/>
          <w:bCs/>
          <w:caps/>
          <w:sz w:val="24"/>
          <w:szCs w:val="24"/>
        </w:rPr>
        <w:t>Docket</w:t>
      </w:r>
      <w:r w:rsidRPr="00264B25">
        <w:rPr>
          <w:rFonts w:ascii="Times New Roman" w:eastAsia="Times New Roman" w:hAnsi="Times New Roman" w:cs="Times New Roman"/>
          <w:b/>
          <w:bCs/>
          <w:sz w:val="24"/>
          <w:szCs w:val="24"/>
        </w:rPr>
        <w:t xml:space="preserve"> </w:t>
      </w:r>
      <w:r w:rsidRPr="00264B25">
        <w:rPr>
          <w:rFonts w:ascii="Times New Roman" w:eastAsia="Times New Roman" w:hAnsi="Times New Roman" w:cs="Times New Roman"/>
          <w:b/>
          <w:bCs/>
          <w:caps/>
          <w:sz w:val="24"/>
          <w:szCs w:val="24"/>
        </w:rPr>
        <w:t>No. 50442</w:t>
      </w:r>
    </w:p>
    <w:p w14:paraId="3486B5B2" w14:textId="77777777" w:rsidR="00264B25" w:rsidRPr="00264B25" w:rsidRDefault="00264B25" w:rsidP="00264B25">
      <w:pPr>
        <w:spacing w:after="0" w:line="240" w:lineRule="auto"/>
        <w:jc w:val="center"/>
        <w:rPr>
          <w:rFonts w:ascii="Times New Roman" w:eastAsia="Times New Roman" w:hAnsi="Times New Roman" w:cs="Times New Roman"/>
          <w:b/>
          <w:bCs/>
          <w:caps/>
          <w:sz w:val="24"/>
          <w:szCs w:val="24"/>
        </w:rPr>
      </w:pPr>
    </w:p>
    <w:p w14:paraId="2EF53EAA" w14:textId="77777777" w:rsidR="00264B25" w:rsidRPr="00264B25" w:rsidRDefault="00264B25" w:rsidP="00264B25">
      <w:pPr>
        <w:keepNext/>
        <w:spacing w:after="0" w:line="240" w:lineRule="auto"/>
        <w:jc w:val="center"/>
        <w:rPr>
          <w:rFonts w:ascii="Times New Roman" w:eastAsia="Times New Roman" w:hAnsi="Times New Roman" w:cs="Times New Roman"/>
          <w:b/>
          <w:sz w:val="24"/>
          <w:szCs w:val="24"/>
        </w:rPr>
      </w:pPr>
      <w:r w:rsidRPr="00264B25">
        <w:rPr>
          <w:rFonts w:ascii="Times New Roman" w:eastAsia="Times New Roman" w:hAnsi="Times New Roman" w:cs="Times New Roman"/>
          <w:b/>
          <w:sz w:val="24"/>
          <w:szCs w:val="24"/>
        </w:rPr>
        <w:t>CERTIFICATE OF SERVICE</w:t>
      </w:r>
    </w:p>
    <w:p w14:paraId="1171C0CC" w14:textId="77777777" w:rsidR="00264B25" w:rsidRPr="00264B25" w:rsidRDefault="00264B25" w:rsidP="00264B25">
      <w:pPr>
        <w:keepNext/>
        <w:spacing w:after="0" w:line="240" w:lineRule="auto"/>
        <w:jc w:val="center"/>
        <w:rPr>
          <w:rFonts w:ascii="Times New Roman" w:eastAsia="Times New Roman" w:hAnsi="Times New Roman" w:cs="Times New Roman"/>
          <w:b/>
          <w:sz w:val="24"/>
          <w:szCs w:val="24"/>
        </w:rPr>
      </w:pPr>
    </w:p>
    <w:p w14:paraId="78D36FF8" w14:textId="36CD5AFF" w:rsidR="000D3B4C" w:rsidRDefault="000D507E" w:rsidP="000D3B4C">
      <w:pPr>
        <w:keepNext/>
        <w:spacing w:after="0" w:line="360" w:lineRule="auto"/>
        <w:ind w:firstLine="720"/>
        <w:jc w:val="both"/>
        <w:rPr>
          <w:rFonts w:ascii="Times New Roman" w:eastAsia="Times New Roman" w:hAnsi="Times New Roman" w:cs="Times New Roman"/>
          <w:sz w:val="24"/>
          <w:szCs w:val="24"/>
        </w:rPr>
      </w:pPr>
      <w:r w:rsidRPr="000D507E">
        <w:rPr>
          <w:rFonts w:ascii="Times New Roman" w:eastAsia="Times New Roman" w:hAnsi="Times New Roman" w:cs="Times New Roman"/>
          <w:sz w:val="24"/>
          <w:szCs w:val="24"/>
        </w:rPr>
        <w:t>I certify that, unless otherwise ordered by the presiding officer, notice of the filing of this document was provided to all parties of record via electronic mail on March 26, 2020, in accordance with the Order Suspending Rules, issued in Project No. 50664.</w:t>
      </w:r>
    </w:p>
    <w:p w14:paraId="7F28AA92" w14:textId="77777777" w:rsidR="000D3B4C" w:rsidRPr="00264B25" w:rsidRDefault="000D3B4C" w:rsidP="000D3B4C">
      <w:pPr>
        <w:keepNext/>
        <w:spacing w:after="0" w:line="360" w:lineRule="auto"/>
        <w:ind w:firstLine="720"/>
        <w:jc w:val="both"/>
        <w:rPr>
          <w:rFonts w:ascii="Times New Roman" w:eastAsia="Times New Roman" w:hAnsi="Times New Roman" w:cs="Times New Roman"/>
          <w:sz w:val="24"/>
          <w:szCs w:val="24"/>
        </w:rPr>
      </w:pPr>
    </w:p>
    <w:p w14:paraId="60D55079" w14:textId="43924812" w:rsidR="00264B25" w:rsidRPr="000D507E" w:rsidRDefault="000D507E" w:rsidP="00264B25">
      <w:pPr>
        <w:keepNext/>
        <w:spacing w:after="0" w:line="240" w:lineRule="auto"/>
        <w:ind w:left="3600" w:firstLine="720"/>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/s/ Robert Dakota Parish__</w:t>
      </w:r>
    </w:p>
    <w:p w14:paraId="727D0C78" w14:textId="77777777" w:rsidR="00264B25" w:rsidRPr="00264B25" w:rsidRDefault="00264B25" w:rsidP="00264B25">
      <w:pPr>
        <w:spacing w:after="0" w:line="240" w:lineRule="auto"/>
        <w:ind w:left="4320"/>
        <w:jc w:val="both"/>
        <w:rPr>
          <w:rFonts w:ascii="Times New Roman" w:eastAsia="Times New Roman" w:hAnsi="Times New Roman" w:cs="Times New Roman"/>
          <w:sz w:val="24"/>
          <w:szCs w:val="20"/>
        </w:rPr>
      </w:pPr>
      <w:r w:rsidRPr="00264B25">
        <w:rPr>
          <w:rFonts w:ascii="Times New Roman" w:eastAsia="Times New Roman" w:hAnsi="Times New Roman" w:cs="Times New Roman"/>
          <w:sz w:val="24"/>
          <w:szCs w:val="20"/>
        </w:rPr>
        <w:t>Robert Dakota Parish</w:t>
      </w:r>
    </w:p>
    <w:p w14:paraId="35662523" w14:textId="77777777" w:rsidR="00F17459" w:rsidRDefault="00F17459"/>
    <w:sectPr w:rsidR="00F17459" w:rsidSect="00590818">
      <w:footerReference w:type="even" r:id="rId8"/>
      <w:footerReference w:type="default" r:id="rId9"/>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B14FC2" w14:textId="77777777" w:rsidR="00264B25" w:rsidRDefault="00264B25" w:rsidP="00264B25">
      <w:pPr>
        <w:spacing w:after="0" w:line="240" w:lineRule="auto"/>
      </w:pPr>
      <w:r>
        <w:separator/>
      </w:r>
    </w:p>
  </w:endnote>
  <w:endnote w:type="continuationSeparator" w:id="0">
    <w:p w14:paraId="0C8707E1" w14:textId="77777777" w:rsidR="00264B25" w:rsidRDefault="00264B25" w:rsidP="00264B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Source Sans Pro">
    <w:altName w:val="Source Sans Pro"/>
    <w:charset w:val="00"/>
    <w:family w:val="swiss"/>
    <w:pitch w:val="variable"/>
    <w:sig w:usb0="600002F7" w:usb1="02000001"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8D6772" w14:textId="77777777" w:rsidR="009C1544" w:rsidRDefault="00686655"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1C653CF" w14:textId="77777777" w:rsidR="009C1544" w:rsidRDefault="00617EF3"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0AD44F" w14:textId="77777777" w:rsidR="009C1544" w:rsidRPr="000D3B4C" w:rsidRDefault="00686655" w:rsidP="009B61E3">
    <w:pPr>
      <w:pStyle w:val="Footer"/>
      <w:framePr w:wrap="around" w:vAnchor="text" w:hAnchor="page" w:x="1702" w:y="61"/>
      <w:jc w:val="center"/>
      <w:rPr>
        <w:rStyle w:val="PageNumber"/>
        <w:rFonts w:ascii="Times New Roman" w:hAnsi="Times New Roman" w:cs="Times New Roman"/>
        <w:sz w:val="24"/>
        <w:szCs w:val="24"/>
      </w:rPr>
    </w:pPr>
    <w:r w:rsidRPr="000D3B4C">
      <w:rPr>
        <w:rStyle w:val="PageNumber"/>
        <w:rFonts w:ascii="Times New Roman" w:hAnsi="Times New Roman" w:cs="Times New Roman"/>
        <w:sz w:val="24"/>
        <w:szCs w:val="24"/>
      </w:rPr>
      <w:fldChar w:fldCharType="begin"/>
    </w:r>
    <w:r w:rsidRPr="000D3B4C">
      <w:rPr>
        <w:rStyle w:val="PageNumber"/>
        <w:rFonts w:ascii="Times New Roman" w:hAnsi="Times New Roman" w:cs="Times New Roman"/>
        <w:sz w:val="24"/>
        <w:szCs w:val="24"/>
      </w:rPr>
      <w:instrText xml:space="preserve">PAGE  </w:instrText>
    </w:r>
    <w:r w:rsidRPr="000D3B4C">
      <w:rPr>
        <w:rStyle w:val="PageNumber"/>
        <w:rFonts w:ascii="Times New Roman" w:hAnsi="Times New Roman" w:cs="Times New Roman"/>
        <w:sz w:val="24"/>
        <w:szCs w:val="24"/>
      </w:rPr>
      <w:fldChar w:fldCharType="separate"/>
    </w:r>
    <w:r w:rsidRPr="000D3B4C">
      <w:rPr>
        <w:rStyle w:val="PageNumber"/>
        <w:rFonts w:ascii="Times New Roman" w:hAnsi="Times New Roman" w:cs="Times New Roman"/>
        <w:noProof/>
        <w:sz w:val="24"/>
        <w:szCs w:val="24"/>
      </w:rPr>
      <w:t>2</w:t>
    </w:r>
    <w:r w:rsidRPr="000D3B4C">
      <w:rPr>
        <w:rStyle w:val="PageNumber"/>
        <w:rFonts w:ascii="Times New Roman" w:hAnsi="Times New Roman" w:cs="Times New Roman"/>
        <w:sz w:val="24"/>
        <w:szCs w:val="24"/>
      </w:rPr>
      <w:fldChar w:fldCharType="end"/>
    </w:r>
  </w:p>
  <w:p w14:paraId="197FD56F" w14:textId="77777777" w:rsidR="009C1544" w:rsidRDefault="00617EF3" w:rsidP="009B61E3">
    <w:pPr>
      <w:pStyle w:val="Footer"/>
      <w:framePr w:wrap="around" w:vAnchor="text" w:hAnchor="page" w:x="1702" w:y="61"/>
      <w:rPr>
        <w:rStyle w:val="PageNumber"/>
      </w:rPr>
    </w:pPr>
  </w:p>
  <w:p w14:paraId="582BCB2E" w14:textId="77777777" w:rsidR="009C1544" w:rsidRDefault="00617EF3"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EFDB5C" w14:textId="77777777" w:rsidR="00264B25" w:rsidRDefault="00264B25" w:rsidP="00264B25">
      <w:pPr>
        <w:spacing w:after="0" w:line="240" w:lineRule="auto"/>
      </w:pPr>
      <w:r>
        <w:separator/>
      </w:r>
    </w:p>
  </w:footnote>
  <w:footnote w:type="continuationSeparator" w:id="0">
    <w:p w14:paraId="5BC9B10F" w14:textId="77777777" w:rsidR="00264B25" w:rsidRDefault="00264B25" w:rsidP="00264B25">
      <w:pPr>
        <w:spacing w:after="0" w:line="240" w:lineRule="auto"/>
      </w:pPr>
      <w:r>
        <w:continuationSeparator/>
      </w:r>
    </w:p>
  </w:footnote>
  <w:footnote w:id="1">
    <w:p w14:paraId="4726A92D" w14:textId="211C4918" w:rsidR="00B200FC" w:rsidRDefault="00B200FC" w:rsidP="00AE307A">
      <w:pPr>
        <w:pStyle w:val="FootnoteText"/>
        <w:spacing w:before="120"/>
        <w:ind w:firstLine="720"/>
      </w:pPr>
      <w:r>
        <w:rPr>
          <w:rStyle w:val="FootnoteReference"/>
        </w:rPr>
        <w:footnoteRef/>
      </w:r>
      <w:r>
        <w:t xml:space="preserve"> High Point Water Supply Corporation’s Response to Commission Staff’s Motion to Abate and Motion to Require Electronic Service (High Point’s Response to Staff) at 2.</w:t>
      </w:r>
    </w:p>
  </w:footnote>
  <w:footnote w:id="2">
    <w:p w14:paraId="12352093" w14:textId="05BEBE20" w:rsidR="000E42C0" w:rsidRDefault="000E42C0" w:rsidP="00AE307A">
      <w:pPr>
        <w:pStyle w:val="FootnoteText"/>
        <w:spacing w:before="120"/>
        <w:ind w:firstLine="720"/>
      </w:pPr>
      <w:r>
        <w:rPr>
          <w:rStyle w:val="FootnoteReference"/>
        </w:rPr>
        <w:footnoteRef/>
      </w:r>
      <w:r>
        <w:t xml:space="preserve"> </w:t>
      </w:r>
      <w:r w:rsidRPr="000E42C0">
        <w:rPr>
          <w:i/>
          <w:iCs/>
        </w:rPr>
        <w:t xml:space="preserve">Crystal Clear Special Utility District v. Walker, </w:t>
      </w:r>
      <w:proofErr w:type="spellStart"/>
      <w:r w:rsidRPr="000E42C0">
        <w:rPr>
          <w:i/>
          <w:iCs/>
        </w:rPr>
        <w:t>D’Andrea</w:t>
      </w:r>
      <w:proofErr w:type="spellEnd"/>
      <w:r w:rsidRPr="000E42C0">
        <w:rPr>
          <w:i/>
          <w:iCs/>
        </w:rPr>
        <w:t>, Botkin, et. al.</w:t>
      </w:r>
      <w:r>
        <w:t>, No. 19-50556 (5</w:t>
      </w:r>
      <w:r w:rsidRPr="000E42C0">
        <w:rPr>
          <w:vertAlign w:val="superscript"/>
        </w:rPr>
        <w:t>th</w:t>
      </w:r>
      <w:r>
        <w:t xml:space="preserve"> Cir. Filed June 18, 2019).</w:t>
      </w:r>
    </w:p>
  </w:footnote>
  <w:footnote w:id="3">
    <w:p w14:paraId="326B44AD" w14:textId="72B3C329" w:rsidR="0002706E" w:rsidRDefault="0002706E" w:rsidP="00AE307A">
      <w:pPr>
        <w:pStyle w:val="FootnoteText"/>
        <w:spacing w:before="120"/>
        <w:ind w:firstLine="720"/>
      </w:pPr>
      <w:r>
        <w:rPr>
          <w:rStyle w:val="FootnoteReference"/>
        </w:rPr>
        <w:footnoteRef/>
      </w:r>
      <w:r>
        <w:t xml:space="preserve"> </w:t>
      </w:r>
      <w:r w:rsidRPr="0002706E">
        <w:rPr>
          <w:i/>
          <w:iCs/>
        </w:rPr>
        <w:t>Petition of T.J. Bradshaw Construction, Ltd. to Amend Jonah Special Utility District’s Certificates of Convenience and Necessity in Williamson County by Expedited Release</w:t>
      </w:r>
      <w:r w:rsidRPr="0002706E">
        <w:t>, Docket No. 48801</w:t>
      </w:r>
      <w:r>
        <w:t>, Proposal for Decision</w:t>
      </w:r>
      <w:r w:rsidRPr="0002706E">
        <w:t xml:space="preserve"> (Nov. 20, 2019).</w:t>
      </w:r>
    </w:p>
  </w:footnote>
  <w:footnote w:id="4">
    <w:p w14:paraId="614843B9" w14:textId="50E92825" w:rsidR="0002706E" w:rsidRDefault="0002706E" w:rsidP="00AE307A">
      <w:pPr>
        <w:pStyle w:val="FootnoteText"/>
        <w:spacing w:before="120"/>
        <w:ind w:left="720"/>
      </w:pPr>
      <w:r>
        <w:rPr>
          <w:rStyle w:val="FootnoteReference"/>
        </w:rPr>
        <w:footnoteRef/>
      </w:r>
      <w:r>
        <w:t xml:space="preserve"> Docket No. 48801, T.J. Bradshaw Construction, LTD’s Withdrawal of Petition. </w:t>
      </w:r>
    </w:p>
  </w:footnote>
  <w:footnote w:id="5">
    <w:p w14:paraId="71050C6A" w14:textId="2FBF6065" w:rsidR="0002706E" w:rsidRDefault="0002706E" w:rsidP="00AE307A">
      <w:pPr>
        <w:pStyle w:val="FootnoteText"/>
        <w:spacing w:before="120" w:after="120"/>
        <w:ind w:firstLine="720"/>
      </w:pPr>
      <w:r>
        <w:rPr>
          <w:rStyle w:val="FootnoteReference"/>
        </w:rPr>
        <w:footnoteRef/>
      </w:r>
      <w:r w:rsidR="00FE24C1">
        <w:t xml:space="preserve"> </w:t>
      </w:r>
      <w:r w:rsidRPr="00563A12">
        <w:rPr>
          <w:i/>
        </w:rPr>
        <w:t xml:space="preserve">Crystal Clear </w:t>
      </w:r>
      <w:r w:rsidRPr="00107978">
        <w:rPr>
          <w:i/>
        </w:rPr>
        <w:t>Special Utility District</w:t>
      </w:r>
      <w:r w:rsidRPr="00563A12">
        <w:rPr>
          <w:i/>
        </w:rPr>
        <w:t xml:space="preserve"> </w:t>
      </w:r>
      <w:r>
        <w:rPr>
          <w:i/>
        </w:rPr>
        <w:t>v.</w:t>
      </w:r>
      <w:r w:rsidRPr="00563A12">
        <w:rPr>
          <w:i/>
        </w:rPr>
        <w:t xml:space="preserve"> </w:t>
      </w:r>
      <w:r w:rsidRPr="00107978">
        <w:rPr>
          <w:i/>
        </w:rPr>
        <w:t xml:space="preserve">Walker, </w:t>
      </w:r>
      <w:proofErr w:type="spellStart"/>
      <w:r w:rsidRPr="00107978">
        <w:rPr>
          <w:i/>
        </w:rPr>
        <w:t>D'Andrea</w:t>
      </w:r>
      <w:proofErr w:type="spellEnd"/>
      <w:r w:rsidRPr="00107978">
        <w:rPr>
          <w:i/>
        </w:rPr>
        <w:t>, Botkin, et.al</w:t>
      </w:r>
      <w:r>
        <w:rPr>
          <w:i/>
        </w:rPr>
        <w:t>.,</w:t>
      </w:r>
      <w:r w:rsidRPr="00563A12">
        <w:rPr>
          <w:i/>
        </w:rPr>
        <w:t xml:space="preserve"> </w:t>
      </w:r>
      <w:r w:rsidRPr="00345A61">
        <w:t>No</w:t>
      </w:r>
      <w:r>
        <w:rPr>
          <w:i/>
        </w:rPr>
        <w:t xml:space="preserve">. </w:t>
      </w:r>
      <w:r w:rsidRPr="00563A12">
        <w:t>19-50556</w:t>
      </w:r>
      <w:r>
        <w:t xml:space="preserve"> (</w:t>
      </w:r>
      <w:r w:rsidRPr="00762EC3">
        <w:t>5</w:t>
      </w:r>
      <w:r w:rsidRPr="00762EC3">
        <w:rPr>
          <w:vertAlign w:val="superscript"/>
        </w:rPr>
        <w:t>th</w:t>
      </w:r>
      <w:r w:rsidRPr="00762EC3">
        <w:t xml:space="preserve"> Cir. </w:t>
      </w:r>
      <w:r>
        <w:t xml:space="preserve"> filed June </w:t>
      </w:r>
      <w:r w:rsidRPr="00762EC3">
        <w:rPr>
          <w:color w:val="3D3D3D"/>
          <w:shd w:val="clear" w:color="auto" w:fill="FFFFFF"/>
        </w:rPr>
        <w:t>18, 2019)</w:t>
      </w:r>
      <w:r w:rsidRPr="00762EC3">
        <w:t>.</w:t>
      </w:r>
    </w:p>
  </w:footnote>
  <w:footnote w:id="6">
    <w:p w14:paraId="69BA2A67" w14:textId="013271F7" w:rsidR="0002706E" w:rsidRDefault="0002706E" w:rsidP="00AE307A">
      <w:pPr>
        <w:pStyle w:val="FootnoteText"/>
        <w:spacing w:before="120" w:after="120"/>
        <w:ind w:firstLine="720"/>
      </w:pPr>
      <w:r>
        <w:rPr>
          <w:rStyle w:val="FootnoteReference"/>
        </w:rPr>
        <w:footnoteRef/>
      </w:r>
      <w:r>
        <w:t xml:space="preserve"> </w:t>
      </w:r>
      <w:r w:rsidRPr="00107978">
        <w:rPr>
          <w:i/>
        </w:rPr>
        <w:t xml:space="preserve">Crystal Clear Special Utility District v. </w:t>
      </w:r>
      <w:bookmarkStart w:id="5" w:name="_Hlk22118406"/>
      <w:r w:rsidRPr="00107978">
        <w:rPr>
          <w:i/>
        </w:rPr>
        <w:t xml:space="preserve">Walker, </w:t>
      </w:r>
      <w:proofErr w:type="spellStart"/>
      <w:r w:rsidRPr="00107978">
        <w:rPr>
          <w:i/>
        </w:rPr>
        <w:t>D'Andrea</w:t>
      </w:r>
      <w:proofErr w:type="spellEnd"/>
      <w:r w:rsidRPr="00107978">
        <w:rPr>
          <w:i/>
        </w:rPr>
        <w:t>, Botkin, et.al.,</w:t>
      </w:r>
      <w:r w:rsidRPr="00107978">
        <w:t xml:space="preserve"> </w:t>
      </w:r>
      <w:bookmarkEnd w:id="5"/>
      <w:r w:rsidRPr="00107978">
        <w:t xml:space="preserve">No. 1-17-CV-254-LY (W.D. </w:t>
      </w:r>
      <w:proofErr w:type="spellStart"/>
      <w:r w:rsidRPr="00107978">
        <w:t>Tex</w:t>
      </w:r>
      <w:proofErr w:type="spellEnd"/>
      <w:r w:rsidRPr="00107978">
        <w:t xml:space="preserve"> March 27, 2019),</w:t>
      </w:r>
      <w:r>
        <w:t xml:space="preserve"> </w:t>
      </w:r>
      <w:r w:rsidRPr="00762EC3">
        <w:rPr>
          <w:i/>
        </w:rPr>
        <w:t>appeal docketed</w:t>
      </w:r>
      <w:r>
        <w:t>,</w:t>
      </w:r>
      <w:r w:rsidRPr="00762EC3">
        <w:rPr>
          <w:rFonts w:ascii="Source Sans Pro" w:hAnsi="Source Sans Pro"/>
          <w:color w:val="3D3D3D"/>
          <w:sz w:val="27"/>
          <w:szCs w:val="27"/>
          <w:shd w:val="clear" w:color="auto" w:fill="FFFFFF"/>
        </w:rPr>
        <w:t xml:space="preserve"> </w:t>
      </w:r>
      <w:r w:rsidRPr="00762EC3">
        <w:rPr>
          <w:color w:val="3D3D3D"/>
          <w:shd w:val="clear" w:color="auto" w:fill="FFFFFF"/>
        </w:rPr>
        <w:t>19-50556</w:t>
      </w:r>
      <w:r w:rsidRPr="00762EC3">
        <w:t xml:space="preserve"> </w:t>
      </w:r>
      <w:bookmarkStart w:id="6" w:name="_Hlk22118466"/>
      <w:r w:rsidRPr="00762EC3">
        <w:t>(5</w:t>
      </w:r>
      <w:r w:rsidRPr="00762EC3">
        <w:rPr>
          <w:vertAlign w:val="superscript"/>
        </w:rPr>
        <w:t>th</w:t>
      </w:r>
      <w:r w:rsidRPr="00762EC3">
        <w:t xml:space="preserve"> Cir. June</w:t>
      </w:r>
      <w:r w:rsidRPr="00762EC3">
        <w:rPr>
          <w:color w:val="3D3D3D"/>
          <w:shd w:val="clear" w:color="auto" w:fill="FFFFFF"/>
        </w:rPr>
        <w:t xml:space="preserve"> 18, 2019)</w:t>
      </w:r>
      <w:r w:rsidRPr="00762EC3">
        <w:t xml:space="preserve">. </w:t>
      </w:r>
      <w:bookmarkEnd w:id="6"/>
    </w:p>
  </w:footnote>
  <w:footnote w:id="7">
    <w:p w14:paraId="7655D19C" w14:textId="0AF2C9D2" w:rsidR="0002706E" w:rsidRDefault="0002706E" w:rsidP="00AE307A">
      <w:pPr>
        <w:pStyle w:val="FootnoteText"/>
        <w:spacing w:before="120"/>
        <w:ind w:firstLine="720"/>
      </w:pPr>
      <w:r>
        <w:rPr>
          <w:rStyle w:val="FootnoteReference"/>
        </w:rPr>
        <w:footnoteRef/>
      </w:r>
      <w:r>
        <w:t xml:space="preserve"> Docket No. 48801, Proposal for Decision at 2.</w:t>
      </w:r>
    </w:p>
  </w:footnote>
  <w:footnote w:id="8">
    <w:p w14:paraId="30EF8067" w14:textId="35E8D2BB" w:rsidR="00B200FC" w:rsidRDefault="00B200FC" w:rsidP="00AE307A">
      <w:pPr>
        <w:pStyle w:val="FootnoteText"/>
        <w:spacing w:before="120"/>
        <w:ind w:firstLine="720"/>
      </w:pPr>
      <w:r>
        <w:rPr>
          <w:rStyle w:val="FootnoteReference"/>
        </w:rPr>
        <w:footnoteRef/>
      </w:r>
      <w:r>
        <w:t xml:space="preserve"> MM Walden Pond LLC’s Response to High Point Water Supply Corporation’s Response and Motion to Dismiss and Commission Staff’s Motion to Abate (Walden Pond’s Response to Staff and High Point) at 2-3.</w:t>
      </w:r>
    </w:p>
  </w:footnote>
  <w:footnote w:id="9">
    <w:p w14:paraId="568F6BC8" w14:textId="00D0B594" w:rsidR="00B200FC" w:rsidRDefault="00B200FC" w:rsidP="00AE307A">
      <w:pPr>
        <w:pStyle w:val="FootnoteText"/>
        <w:spacing w:before="120"/>
        <w:ind w:firstLine="720"/>
      </w:pPr>
      <w:r>
        <w:rPr>
          <w:rStyle w:val="FootnoteReference"/>
        </w:rPr>
        <w:footnoteRef/>
      </w:r>
      <w:r>
        <w:t xml:space="preserve"> Walden Pond’s Response to Staff and High Point at 2.</w:t>
      </w:r>
    </w:p>
  </w:footnote>
  <w:footnote w:id="10">
    <w:p w14:paraId="21217F33" w14:textId="2D68A079" w:rsidR="00B46250" w:rsidRDefault="00B46250" w:rsidP="00AE307A">
      <w:pPr>
        <w:pStyle w:val="FootnoteText"/>
        <w:spacing w:before="120"/>
        <w:ind w:firstLine="720"/>
      </w:pPr>
      <w:r>
        <w:rPr>
          <w:rStyle w:val="FootnoteReference"/>
        </w:rPr>
        <w:footnoteRef/>
      </w:r>
      <w:r>
        <w:t xml:space="preserve"> </w:t>
      </w:r>
      <w:r w:rsidRPr="00B46250">
        <w:rPr>
          <w:i/>
          <w:iCs/>
        </w:rPr>
        <w:t>Penrod Drilling Corp. v. Williams</w:t>
      </w:r>
      <w:r>
        <w:t xml:space="preserve">, 868 S.W.2d 294, 296 (Tex. 1993) (per </w:t>
      </w:r>
      <w:proofErr w:type="spellStart"/>
      <w:r>
        <w:t>curiam</w:t>
      </w:r>
      <w:proofErr w:type="spellEnd"/>
      <w:r>
        <w:t xml:space="preserve">); Walden Pond’s Response to Staff and High Point at 3-4. </w:t>
      </w:r>
    </w:p>
  </w:footnote>
  <w:footnote w:id="11">
    <w:p w14:paraId="1F0F0022" w14:textId="4B350327" w:rsidR="008426AD" w:rsidRDefault="008426AD" w:rsidP="00AE307A">
      <w:pPr>
        <w:pStyle w:val="FootnoteText"/>
        <w:spacing w:before="120"/>
        <w:ind w:firstLine="720"/>
      </w:pPr>
      <w:r>
        <w:rPr>
          <w:rStyle w:val="FootnoteReference"/>
        </w:rPr>
        <w:footnoteRef/>
      </w:r>
      <w:r>
        <w:t xml:space="preserve"> See </w:t>
      </w:r>
      <w:r w:rsidRPr="00AD51EE">
        <w:rPr>
          <w:i/>
          <w:iCs/>
        </w:rPr>
        <w:t>N. Alamo Water Supply Corp. v. City of San Juan</w:t>
      </w:r>
      <w:r>
        <w:t>, 90 F.3d 910 (5</w:t>
      </w:r>
      <w:r w:rsidRPr="008426AD">
        <w:t>th</w:t>
      </w:r>
      <w:r>
        <w:t xml:space="preserve"> Cir. 1996). </w:t>
      </w:r>
    </w:p>
  </w:footnote>
  <w:footnote w:id="12">
    <w:p w14:paraId="7FF7A6D6" w14:textId="2E97463E" w:rsidR="008426AD" w:rsidRDefault="008426AD" w:rsidP="00AE307A">
      <w:pPr>
        <w:pStyle w:val="FootnoteText"/>
        <w:spacing w:before="120"/>
        <w:ind w:left="720"/>
      </w:pPr>
      <w:r>
        <w:rPr>
          <w:rStyle w:val="FootnoteReference"/>
        </w:rPr>
        <w:footnoteRef/>
      </w:r>
      <w:r>
        <w:t xml:space="preserve"> </w:t>
      </w:r>
      <w:r w:rsidRPr="008426AD">
        <w:rPr>
          <w:i/>
          <w:iCs/>
        </w:rPr>
        <w:t>Id</w:t>
      </w:r>
      <w:r>
        <w:t xml:space="preserve">. at 915. </w:t>
      </w:r>
    </w:p>
  </w:footnote>
  <w:footnote w:id="13">
    <w:p w14:paraId="714F2427" w14:textId="04C6B5EF" w:rsidR="007A768E" w:rsidRDefault="007A768E" w:rsidP="00AE307A">
      <w:pPr>
        <w:pStyle w:val="FootnoteText"/>
        <w:spacing w:before="120"/>
        <w:ind w:left="720"/>
      </w:pPr>
      <w:r>
        <w:rPr>
          <w:rStyle w:val="FootnoteReference"/>
        </w:rPr>
        <w:footnoteRef/>
      </w:r>
      <w:r>
        <w:t xml:space="preserve"> </w:t>
      </w:r>
      <w:r w:rsidRPr="007A768E">
        <w:rPr>
          <w:i/>
          <w:iCs/>
        </w:rPr>
        <w:t>Id</w:t>
      </w:r>
      <w:r>
        <w:t>. at 916.</w:t>
      </w:r>
    </w:p>
  </w:footnote>
  <w:footnote w:id="14">
    <w:p w14:paraId="3F177BBE" w14:textId="4E0DC3D4" w:rsidR="007A768E" w:rsidRDefault="007A768E" w:rsidP="00AE307A">
      <w:pPr>
        <w:pStyle w:val="FootnoteText"/>
        <w:spacing w:before="120"/>
        <w:ind w:left="720"/>
      </w:pPr>
      <w:r>
        <w:rPr>
          <w:rStyle w:val="FootnoteReference"/>
        </w:rPr>
        <w:footnoteRef/>
      </w:r>
      <w:r>
        <w:t xml:space="preserve"> </w:t>
      </w:r>
      <w:bookmarkStart w:id="8" w:name="_Hlk35943678"/>
      <w:r w:rsidRPr="007A768E">
        <w:t xml:space="preserve">Walden Pond’s Response to Staff and High Point at </w:t>
      </w:r>
      <w:r>
        <w:t>3.</w:t>
      </w:r>
      <w:bookmarkEnd w:id="8"/>
    </w:p>
  </w:footnote>
  <w:footnote w:id="15">
    <w:p w14:paraId="1A7294BE" w14:textId="6D51CC82" w:rsidR="00F32C93" w:rsidRDefault="00F32C93" w:rsidP="00AE307A">
      <w:pPr>
        <w:pStyle w:val="FootnoteText"/>
        <w:spacing w:before="120"/>
        <w:ind w:firstLine="720"/>
      </w:pPr>
      <w:r>
        <w:rPr>
          <w:rStyle w:val="FootnoteReference"/>
        </w:rPr>
        <w:footnoteRef/>
      </w:r>
      <w:r>
        <w:t xml:space="preserve"> </w:t>
      </w:r>
      <w:r w:rsidRPr="00AD51EE">
        <w:rPr>
          <w:i/>
          <w:iCs/>
        </w:rPr>
        <w:t>Creedmoor-</w:t>
      </w:r>
      <w:proofErr w:type="spellStart"/>
      <w:r w:rsidRPr="00AD51EE">
        <w:rPr>
          <w:i/>
          <w:iCs/>
        </w:rPr>
        <w:t>Maha</w:t>
      </w:r>
      <w:proofErr w:type="spellEnd"/>
      <w:r w:rsidRPr="00AD51EE">
        <w:rPr>
          <w:i/>
          <w:iCs/>
        </w:rPr>
        <w:t xml:space="preserve"> Water Supply Corp v Tex. Comm’n on </w:t>
      </w:r>
      <w:proofErr w:type="spellStart"/>
      <w:r w:rsidRPr="00AD51EE">
        <w:rPr>
          <w:i/>
          <w:iCs/>
        </w:rPr>
        <w:t>Envtl</w:t>
      </w:r>
      <w:proofErr w:type="spellEnd"/>
      <w:r w:rsidRPr="00AD51EE">
        <w:rPr>
          <w:i/>
          <w:iCs/>
        </w:rPr>
        <w:t>. Quality</w:t>
      </w:r>
      <w:r>
        <w:t>, 307 S.W.3d 505, 522 (Tex. App. Austin).</w:t>
      </w:r>
    </w:p>
  </w:footnote>
  <w:footnote w:id="16">
    <w:p w14:paraId="04B1C543" w14:textId="2CE7D164" w:rsidR="009467DE" w:rsidRDefault="009467DE" w:rsidP="00AE307A">
      <w:pPr>
        <w:pStyle w:val="FootnoteText"/>
        <w:spacing w:before="120"/>
        <w:ind w:firstLine="720"/>
      </w:pPr>
      <w:r>
        <w:rPr>
          <w:rStyle w:val="FootnoteReference"/>
        </w:rPr>
        <w:footnoteRef/>
      </w:r>
      <w:r>
        <w:t xml:space="preserve"> High Point Water Supply Corporation’s Response and Motion to Dismiss MM Walden Pond, LLC’s Petition to Amend High Point Water Supply Corporation’s Certificate of Convenience and Necessity in Kaufman County by Expedited Release (High Point Response and Motion to Dismiss) at 3; Exhibit “C”; Exhibit “D”.</w:t>
      </w:r>
    </w:p>
  </w:footnote>
  <w:footnote w:id="17">
    <w:p w14:paraId="2B0CDF78" w14:textId="7941ABC2" w:rsidR="009467DE" w:rsidRDefault="009467DE" w:rsidP="00AE307A">
      <w:pPr>
        <w:pStyle w:val="FootnoteText"/>
        <w:spacing w:before="120"/>
        <w:ind w:left="720"/>
      </w:pPr>
      <w:r>
        <w:rPr>
          <w:rStyle w:val="FootnoteReference"/>
        </w:rPr>
        <w:footnoteRef/>
      </w:r>
      <w:r>
        <w:t xml:space="preserve"> </w:t>
      </w:r>
      <w:r w:rsidRPr="009467DE">
        <w:t xml:space="preserve">Walden Pond’s Response to Staff and High Point at </w:t>
      </w:r>
      <w:r>
        <w:t>4.</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241926"/>
    <w:multiLevelType w:val="hybridMultilevel"/>
    <w:tmpl w:val="D38C2546"/>
    <w:lvl w:ilvl="0" w:tplc="DF0A146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61746B9A"/>
    <w:multiLevelType w:val="hybridMultilevel"/>
    <w:tmpl w:val="259062DE"/>
    <w:lvl w:ilvl="0" w:tplc="1A92D346">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4B25"/>
    <w:rsid w:val="0002706E"/>
    <w:rsid w:val="000600F6"/>
    <w:rsid w:val="00060CAC"/>
    <w:rsid w:val="00067ED3"/>
    <w:rsid w:val="000D3B4C"/>
    <w:rsid w:val="000D507E"/>
    <w:rsid w:val="000E42C0"/>
    <w:rsid w:val="001677FF"/>
    <w:rsid w:val="001C0C56"/>
    <w:rsid w:val="00204D37"/>
    <w:rsid w:val="0020653B"/>
    <w:rsid w:val="00212887"/>
    <w:rsid w:val="00235DD5"/>
    <w:rsid w:val="0024214C"/>
    <w:rsid w:val="00264B25"/>
    <w:rsid w:val="002E1DE4"/>
    <w:rsid w:val="002F5E8B"/>
    <w:rsid w:val="00341EBB"/>
    <w:rsid w:val="00355364"/>
    <w:rsid w:val="003A71FB"/>
    <w:rsid w:val="003F508A"/>
    <w:rsid w:val="004322ED"/>
    <w:rsid w:val="00505F01"/>
    <w:rsid w:val="0050624A"/>
    <w:rsid w:val="00617EF3"/>
    <w:rsid w:val="00660491"/>
    <w:rsid w:val="00686655"/>
    <w:rsid w:val="006F0C7A"/>
    <w:rsid w:val="006F2F5A"/>
    <w:rsid w:val="007A768E"/>
    <w:rsid w:val="007E0840"/>
    <w:rsid w:val="007E3A96"/>
    <w:rsid w:val="00813FB4"/>
    <w:rsid w:val="008426AD"/>
    <w:rsid w:val="008600E9"/>
    <w:rsid w:val="008D1B7F"/>
    <w:rsid w:val="008E2EB2"/>
    <w:rsid w:val="00911A7C"/>
    <w:rsid w:val="009467DE"/>
    <w:rsid w:val="009603B2"/>
    <w:rsid w:val="009B1BD1"/>
    <w:rsid w:val="00A3014C"/>
    <w:rsid w:val="00A7400D"/>
    <w:rsid w:val="00A91162"/>
    <w:rsid w:val="00AD0007"/>
    <w:rsid w:val="00AD51EE"/>
    <w:rsid w:val="00AE307A"/>
    <w:rsid w:val="00B03BFA"/>
    <w:rsid w:val="00B07587"/>
    <w:rsid w:val="00B200FC"/>
    <w:rsid w:val="00B46250"/>
    <w:rsid w:val="00B54EAF"/>
    <w:rsid w:val="00B82FF3"/>
    <w:rsid w:val="00BF17C5"/>
    <w:rsid w:val="00C77566"/>
    <w:rsid w:val="00CA7A6D"/>
    <w:rsid w:val="00CB51A0"/>
    <w:rsid w:val="00D1427D"/>
    <w:rsid w:val="00D759D4"/>
    <w:rsid w:val="00DA5CF6"/>
    <w:rsid w:val="00DD4169"/>
    <w:rsid w:val="00DF7B4B"/>
    <w:rsid w:val="00E44DB5"/>
    <w:rsid w:val="00E614AA"/>
    <w:rsid w:val="00F17459"/>
    <w:rsid w:val="00F3298D"/>
    <w:rsid w:val="00F32C93"/>
    <w:rsid w:val="00F94DA0"/>
    <w:rsid w:val="00F97FC1"/>
    <w:rsid w:val="00FA4E5D"/>
    <w:rsid w:val="00FB0DF0"/>
    <w:rsid w:val="00FB27F6"/>
    <w:rsid w:val="00FB40E7"/>
    <w:rsid w:val="00FE231B"/>
    <w:rsid w:val="00FE24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4:docId w14:val="10B61E3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264B25"/>
    <w:pPr>
      <w:tabs>
        <w:tab w:val="center" w:pos="4680"/>
        <w:tab w:val="right" w:pos="9360"/>
      </w:tabs>
      <w:spacing w:after="0" w:line="240" w:lineRule="auto"/>
    </w:pPr>
  </w:style>
  <w:style w:type="character" w:customStyle="1" w:styleId="FooterChar">
    <w:name w:val="Footer Char"/>
    <w:basedOn w:val="DefaultParagraphFont"/>
    <w:link w:val="Footer"/>
    <w:uiPriority w:val="99"/>
    <w:rsid w:val="00264B25"/>
  </w:style>
  <w:style w:type="paragraph" w:styleId="FootnoteText">
    <w:name w:val="footnote text"/>
    <w:basedOn w:val="Normal"/>
    <w:next w:val="Normal"/>
    <w:link w:val="FootnoteTextChar"/>
    <w:uiPriority w:val="99"/>
    <w:rsid w:val="00264B25"/>
    <w:pPr>
      <w:spacing w:after="0" w:line="240" w:lineRule="auto"/>
      <w:jc w:val="both"/>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264B25"/>
    <w:rPr>
      <w:rFonts w:ascii="Times New Roman" w:eastAsia="Times New Roman" w:hAnsi="Times New Roman" w:cs="Times New Roman"/>
      <w:sz w:val="20"/>
      <w:szCs w:val="20"/>
    </w:rPr>
  </w:style>
  <w:style w:type="character" w:styleId="FootnoteReference">
    <w:name w:val="footnote reference"/>
    <w:uiPriority w:val="99"/>
    <w:rsid w:val="00264B25"/>
    <w:rPr>
      <w:position w:val="6"/>
      <w:sz w:val="16"/>
    </w:rPr>
  </w:style>
  <w:style w:type="character" w:styleId="PageNumber">
    <w:name w:val="page number"/>
    <w:basedOn w:val="DefaultParagraphFont"/>
    <w:rsid w:val="00264B25"/>
  </w:style>
  <w:style w:type="paragraph" w:styleId="ListParagraph">
    <w:name w:val="List Paragraph"/>
    <w:basedOn w:val="Normal"/>
    <w:uiPriority w:val="34"/>
    <w:qFormat/>
    <w:rsid w:val="000E42C0"/>
    <w:pPr>
      <w:ind w:left="720"/>
      <w:contextualSpacing/>
    </w:pPr>
  </w:style>
  <w:style w:type="paragraph" w:styleId="BalloonText">
    <w:name w:val="Balloon Text"/>
    <w:basedOn w:val="Normal"/>
    <w:link w:val="BalloonTextChar"/>
    <w:uiPriority w:val="99"/>
    <w:semiHidden/>
    <w:unhideWhenUsed/>
    <w:rsid w:val="0002706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2706E"/>
    <w:rPr>
      <w:rFonts w:ascii="Segoe UI" w:hAnsi="Segoe UI" w:cs="Segoe UI"/>
      <w:sz w:val="18"/>
      <w:szCs w:val="18"/>
    </w:rPr>
  </w:style>
  <w:style w:type="paragraph" w:styleId="BodyText">
    <w:name w:val="Body Text"/>
    <w:basedOn w:val="Normal"/>
    <w:link w:val="BodyTextChar"/>
    <w:qFormat/>
    <w:rsid w:val="0002706E"/>
    <w:pPr>
      <w:spacing w:before="120" w:after="0" w:line="360" w:lineRule="auto"/>
      <w:ind w:firstLine="720"/>
      <w:jc w:val="both"/>
    </w:pPr>
    <w:rPr>
      <w:rFonts w:ascii="Times New Roman" w:hAnsi="Times New Roman" w:cs="Times New Roman"/>
      <w:sz w:val="24"/>
      <w:szCs w:val="24"/>
    </w:rPr>
  </w:style>
  <w:style w:type="character" w:customStyle="1" w:styleId="BodyTextChar">
    <w:name w:val="Body Text Char"/>
    <w:basedOn w:val="DefaultParagraphFont"/>
    <w:link w:val="BodyText"/>
    <w:rsid w:val="0002706E"/>
    <w:rPr>
      <w:rFonts w:ascii="Times New Roman" w:hAnsi="Times New Roman" w:cs="Times New Roman"/>
      <w:sz w:val="24"/>
      <w:szCs w:val="24"/>
    </w:rPr>
  </w:style>
  <w:style w:type="paragraph" w:styleId="Header">
    <w:name w:val="header"/>
    <w:basedOn w:val="Normal"/>
    <w:link w:val="HeaderChar"/>
    <w:uiPriority w:val="99"/>
    <w:unhideWhenUsed/>
    <w:rsid w:val="000D3B4C"/>
    <w:pPr>
      <w:tabs>
        <w:tab w:val="center" w:pos="4680"/>
        <w:tab w:val="right" w:pos="9360"/>
      </w:tabs>
      <w:spacing w:after="0" w:line="240" w:lineRule="auto"/>
    </w:pPr>
  </w:style>
  <w:style w:type="character" w:customStyle="1" w:styleId="HeaderChar">
    <w:name w:val="Header Char"/>
    <w:basedOn w:val="DefaultParagraphFont"/>
    <w:link w:val="Header"/>
    <w:uiPriority w:val="99"/>
    <w:rsid w:val="000D3B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6592182">
      <w:bodyDiv w:val="1"/>
      <w:marLeft w:val="0"/>
      <w:marRight w:val="0"/>
      <w:marTop w:val="0"/>
      <w:marBottom w:val="0"/>
      <w:divBdr>
        <w:top w:val="none" w:sz="0" w:space="0" w:color="auto"/>
        <w:left w:val="none" w:sz="0" w:space="0" w:color="auto"/>
        <w:bottom w:val="none" w:sz="0" w:space="0" w:color="auto"/>
        <w:right w:val="none" w:sz="0" w:space="0" w:color="auto"/>
      </w:divBdr>
    </w:div>
    <w:div w:id="2106880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C0189F-F35A-4510-9D67-DAF47D4A18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1525</Words>
  <Characters>8697</Characters>
  <Application>Microsoft Office Word</Application>
  <DocSecurity>0</DocSecurity>
  <Lines>72</Lines>
  <Paragraphs>20</Paragraphs>
  <ScaleCrop>false</ScaleCrop>
  <Company/>
  <LinksUpToDate>false</LinksUpToDate>
  <CharactersWithSpaces>10202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2020-03-26T16:32:00Z</dcterms:created>
  <dcterms:modified xsi:type="dcterms:W3CDTF">2020-03-26T16:32:00Z</dcterms:modified>
</cp:coreProperties>
</file>